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CD51" w14:textId="77777777" w:rsidR="006B7249" w:rsidRPr="004B063A" w:rsidRDefault="006B7249" w:rsidP="0084679B">
      <w:pPr>
        <w:spacing w:after="0"/>
        <w:rPr>
          <w:rFonts w:ascii="Times New Roman" w:hAnsi="Times New Roman" w:cs="Times New Roman"/>
          <w:sz w:val="20"/>
          <w:szCs w:val="20"/>
          <w:u w:val="single"/>
          <w:lang w:val="en-US"/>
        </w:rPr>
      </w:pPr>
    </w:p>
    <w:p w14:paraId="6DD00E95" w14:textId="77777777" w:rsidR="005B592F" w:rsidRPr="00B807DA" w:rsidRDefault="005B592F" w:rsidP="005B592F">
      <w:pPr>
        <w:spacing w:after="0"/>
        <w:jc w:val="center"/>
        <w:rPr>
          <w:rFonts w:ascii="Times New Roman" w:hAnsi="Times New Roman" w:cs="Times New Roman"/>
          <w:sz w:val="24"/>
          <w:szCs w:val="24"/>
        </w:rPr>
      </w:pPr>
      <w:r w:rsidRPr="00B807DA">
        <w:rPr>
          <w:rFonts w:ascii="Times New Roman" w:hAnsi="Times New Roman" w:cs="Times New Roman"/>
          <w:sz w:val="24"/>
          <w:szCs w:val="24"/>
        </w:rPr>
        <w:t>Content:</w:t>
      </w:r>
    </w:p>
    <w:p w14:paraId="61CC514E" w14:textId="77777777" w:rsidR="005B592F" w:rsidRPr="008C7C1C" w:rsidRDefault="005B592F" w:rsidP="005B592F">
      <w:pPr>
        <w:spacing w:after="0"/>
        <w:jc w:val="center"/>
        <w:rPr>
          <w:rFonts w:ascii="Times New Roman" w:hAnsi="Times New Roman" w:cs="Times New Roman"/>
          <w:sz w:val="20"/>
          <w:szCs w:val="20"/>
        </w:rPr>
      </w:pPr>
    </w:p>
    <w:p w14:paraId="7657FBD1" w14:textId="2724E17A" w:rsidR="005B592F" w:rsidRPr="00B807DA" w:rsidRDefault="005B592F">
      <w:pPr>
        <w:pStyle w:val="11"/>
        <w:rPr>
          <w:rFonts w:eastAsiaTheme="minorEastAsia"/>
          <w:sz w:val="24"/>
          <w:szCs w:val="24"/>
          <w:lang w:eastAsia="ru-RU"/>
        </w:rPr>
      </w:pPr>
      <w:r w:rsidRPr="00B807DA">
        <w:rPr>
          <w:sz w:val="24"/>
          <w:szCs w:val="24"/>
        </w:rPr>
        <w:fldChar w:fldCharType="begin"/>
      </w:r>
      <w:r w:rsidRPr="00B807DA">
        <w:rPr>
          <w:sz w:val="24"/>
          <w:szCs w:val="24"/>
        </w:rPr>
        <w:instrText xml:space="preserve"> TOC \o "1-3" \h \z \u </w:instrText>
      </w:r>
      <w:r w:rsidRPr="00B807DA">
        <w:rPr>
          <w:sz w:val="24"/>
          <w:szCs w:val="24"/>
        </w:rPr>
        <w:fldChar w:fldCharType="separate"/>
      </w:r>
      <w:hyperlink w:anchor="_Toc57732140" w:history="1">
        <w:r w:rsidRPr="00B807DA">
          <w:rPr>
            <w:rStyle w:val="a9"/>
            <w:sz w:val="24"/>
            <w:szCs w:val="24"/>
          </w:rPr>
          <w:t>1.</w:t>
        </w:r>
        <w:r w:rsidRPr="00B807DA">
          <w:rPr>
            <w:rFonts w:eastAsiaTheme="minorEastAsia"/>
            <w:sz w:val="24"/>
            <w:szCs w:val="24"/>
            <w:lang w:eastAsia="ru-RU"/>
          </w:rPr>
          <w:tab/>
        </w:r>
        <w:r w:rsidRPr="00B807DA">
          <w:rPr>
            <w:rStyle w:val="a9"/>
            <w:sz w:val="24"/>
            <w:szCs w:val="24"/>
          </w:rPr>
          <w:t>Pre-contractual stage</w:t>
        </w:r>
        <w:r w:rsidRPr="00B807DA">
          <w:rPr>
            <w:webHidden/>
            <w:sz w:val="24"/>
            <w:szCs w:val="24"/>
          </w:rPr>
          <w:tab/>
        </w:r>
        <w:r w:rsidR="003D421D">
          <w:rPr>
            <w:webHidden/>
            <w:sz w:val="24"/>
            <w:szCs w:val="24"/>
            <w:lang w:val="en-US"/>
          </w:rPr>
          <w:t>1</w:t>
        </w:r>
      </w:hyperlink>
    </w:p>
    <w:p w14:paraId="28648301" w14:textId="4B058ACC" w:rsidR="005B592F" w:rsidRPr="00B807DA" w:rsidRDefault="00DA1ACA">
      <w:pPr>
        <w:pStyle w:val="11"/>
        <w:rPr>
          <w:rFonts w:eastAsiaTheme="minorEastAsia"/>
          <w:sz w:val="24"/>
          <w:szCs w:val="24"/>
          <w:lang w:eastAsia="ru-RU"/>
        </w:rPr>
      </w:pPr>
      <w:hyperlink w:anchor="_Toc57732141" w:history="1">
        <w:r w:rsidR="005B592F" w:rsidRPr="00B807DA">
          <w:rPr>
            <w:rStyle w:val="a9"/>
            <w:sz w:val="24"/>
            <w:szCs w:val="24"/>
          </w:rPr>
          <w:t>2.</w:t>
        </w:r>
        <w:r w:rsidR="005B592F" w:rsidRPr="00B807DA">
          <w:rPr>
            <w:rFonts w:eastAsiaTheme="minorEastAsia"/>
            <w:sz w:val="24"/>
            <w:szCs w:val="24"/>
            <w:lang w:eastAsia="ru-RU"/>
          </w:rPr>
          <w:tab/>
        </w:r>
        <w:r w:rsidR="00F473A2" w:rsidRPr="00B807DA">
          <w:rPr>
            <w:rFonts w:eastAsiaTheme="minorEastAsia"/>
            <w:sz w:val="24"/>
            <w:szCs w:val="24"/>
            <w:lang w:eastAsia="ru-RU"/>
          </w:rPr>
          <w:t>Full legal due diligence</w:t>
        </w:r>
        <w:r w:rsidR="005B592F" w:rsidRPr="00B807DA">
          <w:rPr>
            <w:webHidden/>
            <w:sz w:val="24"/>
            <w:szCs w:val="24"/>
          </w:rPr>
          <w:tab/>
        </w:r>
        <w:r w:rsidR="003D421D">
          <w:rPr>
            <w:webHidden/>
            <w:sz w:val="24"/>
            <w:szCs w:val="24"/>
            <w:lang w:val="en-US"/>
          </w:rPr>
          <w:t>5</w:t>
        </w:r>
      </w:hyperlink>
    </w:p>
    <w:p w14:paraId="33027D6E" w14:textId="3A316439" w:rsidR="005B592F" w:rsidRPr="00B807DA" w:rsidRDefault="00DA1ACA">
      <w:pPr>
        <w:pStyle w:val="11"/>
        <w:rPr>
          <w:rFonts w:eastAsiaTheme="minorEastAsia"/>
          <w:sz w:val="24"/>
          <w:szCs w:val="24"/>
          <w:lang w:eastAsia="ru-RU"/>
        </w:rPr>
      </w:pPr>
      <w:hyperlink w:anchor="_Toc57732142" w:history="1">
        <w:r w:rsidR="005B592F" w:rsidRPr="00B807DA">
          <w:rPr>
            <w:rStyle w:val="a9"/>
            <w:sz w:val="24"/>
            <w:szCs w:val="24"/>
          </w:rPr>
          <w:t>3.</w:t>
        </w:r>
        <w:r w:rsidR="005B592F" w:rsidRPr="00B807DA">
          <w:rPr>
            <w:rFonts w:eastAsiaTheme="minorEastAsia"/>
            <w:sz w:val="24"/>
            <w:szCs w:val="24"/>
            <w:lang w:eastAsia="ru-RU"/>
          </w:rPr>
          <w:tab/>
        </w:r>
        <w:r w:rsidR="005B592F" w:rsidRPr="00B807DA">
          <w:rPr>
            <w:rStyle w:val="a9"/>
            <w:sz w:val="24"/>
            <w:szCs w:val="24"/>
          </w:rPr>
          <w:t>Preparation of a draft sales contract</w:t>
        </w:r>
        <w:r w:rsidR="005B592F" w:rsidRPr="00B807DA">
          <w:rPr>
            <w:webHidden/>
            <w:sz w:val="24"/>
            <w:szCs w:val="24"/>
          </w:rPr>
          <w:tab/>
        </w:r>
        <w:r w:rsidR="003D421D">
          <w:rPr>
            <w:webHidden/>
            <w:sz w:val="24"/>
            <w:szCs w:val="24"/>
            <w:lang w:val="en-US"/>
          </w:rPr>
          <w:t>6</w:t>
        </w:r>
      </w:hyperlink>
    </w:p>
    <w:p w14:paraId="0192A40E" w14:textId="3467F26A" w:rsidR="005B592F" w:rsidRPr="00B807DA" w:rsidRDefault="00DA1ACA">
      <w:pPr>
        <w:pStyle w:val="11"/>
        <w:rPr>
          <w:rFonts w:eastAsiaTheme="minorEastAsia"/>
          <w:sz w:val="24"/>
          <w:szCs w:val="24"/>
          <w:lang w:eastAsia="ru-RU"/>
        </w:rPr>
      </w:pPr>
      <w:hyperlink w:anchor="_Toc57732143" w:history="1">
        <w:r w:rsidR="005B592F" w:rsidRPr="00B807DA">
          <w:rPr>
            <w:rStyle w:val="a9"/>
            <w:sz w:val="24"/>
            <w:szCs w:val="24"/>
          </w:rPr>
          <w:t>4.</w:t>
        </w:r>
        <w:r w:rsidR="005B592F" w:rsidRPr="00B807DA">
          <w:rPr>
            <w:rFonts w:eastAsiaTheme="minorEastAsia"/>
            <w:sz w:val="24"/>
            <w:szCs w:val="24"/>
            <w:lang w:eastAsia="ru-RU"/>
          </w:rPr>
          <w:tab/>
        </w:r>
        <w:r w:rsidR="00E94D55" w:rsidRPr="00B807DA">
          <w:rPr>
            <w:rFonts w:eastAsiaTheme="minorEastAsia"/>
            <w:sz w:val="24"/>
            <w:szCs w:val="24"/>
            <w:lang w:eastAsia="ru-RU"/>
          </w:rPr>
          <w:t>Coordination of the transaction with the Antimonopoly authority</w:t>
        </w:r>
        <w:r w:rsidR="005B592F" w:rsidRPr="00B807DA">
          <w:rPr>
            <w:webHidden/>
            <w:sz w:val="24"/>
            <w:szCs w:val="24"/>
          </w:rPr>
          <w:tab/>
        </w:r>
        <w:r w:rsidR="003D421D">
          <w:rPr>
            <w:webHidden/>
            <w:sz w:val="24"/>
            <w:szCs w:val="24"/>
            <w:lang w:val="en-US"/>
          </w:rPr>
          <w:t>6</w:t>
        </w:r>
      </w:hyperlink>
    </w:p>
    <w:p w14:paraId="71AC5E50" w14:textId="1EC3082C" w:rsidR="005B592F" w:rsidRPr="00B807DA" w:rsidRDefault="00DA1ACA">
      <w:pPr>
        <w:pStyle w:val="11"/>
        <w:rPr>
          <w:rFonts w:eastAsiaTheme="minorEastAsia"/>
          <w:sz w:val="24"/>
          <w:szCs w:val="24"/>
          <w:lang w:eastAsia="ru-RU"/>
        </w:rPr>
      </w:pPr>
      <w:hyperlink w:anchor="_Toc57732144" w:history="1">
        <w:r w:rsidR="005B592F" w:rsidRPr="00B807DA">
          <w:rPr>
            <w:rStyle w:val="a9"/>
            <w:sz w:val="24"/>
            <w:szCs w:val="24"/>
          </w:rPr>
          <w:t>5.</w:t>
        </w:r>
        <w:r w:rsidR="005B592F" w:rsidRPr="00B807DA">
          <w:rPr>
            <w:rFonts w:eastAsiaTheme="minorEastAsia"/>
            <w:sz w:val="24"/>
            <w:szCs w:val="24"/>
            <w:lang w:eastAsia="ru-RU"/>
          </w:rPr>
          <w:tab/>
        </w:r>
        <w:r w:rsidR="005B592F" w:rsidRPr="00B807DA">
          <w:rPr>
            <w:rStyle w:val="a9"/>
            <w:sz w:val="24"/>
            <w:szCs w:val="24"/>
          </w:rPr>
          <w:t xml:space="preserve">Conclusion of a sale and purchase agreement for 100% of a share in the authorized capital </w:t>
        </w:r>
        <w:r w:rsidR="005B592F" w:rsidRPr="00B807DA">
          <w:rPr>
            <w:webHidden/>
            <w:sz w:val="24"/>
            <w:szCs w:val="24"/>
          </w:rPr>
          <w:tab/>
        </w:r>
        <w:r w:rsidR="003D421D">
          <w:rPr>
            <w:webHidden/>
            <w:sz w:val="24"/>
            <w:szCs w:val="24"/>
            <w:lang w:val="en-US"/>
          </w:rPr>
          <w:t>7</w:t>
        </w:r>
      </w:hyperlink>
    </w:p>
    <w:p w14:paraId="7CAB09DD" w14:textId="5A135AB0" w:rsidR="005B592F" w:rsidRPr="00B807DA" w:rsidRDefault="00DA1ACA">
      <w:pPr>
        <w:pStyle w:val="11"/>
        <w:rPr>
          <w:rFonts w:eastAsiaTheme="minorEastAsia"/>
          <w:sz w:val="24"/>
          <w:szCs w:val="24"/>
          <w:lang w:eastAsia="ru-RU"/>
        </w:rPr>
      </w:pPr>
      <w:hyperlink w:anchor="_Toc57732145" w:history="1">
        <w:r w:rsidR="005B592F" w:rsidRPr="00B807DA">
          <w:rPr>
            <w:rStyle w:val="a9"/>
            <w:sz w:val="24"/>
            <w:szCs w:val="24"/>
          </w:rPr>
          <w:t>6.</w:t>
        </w:r>
        <w:r w:rsidR="005B592F" w:rsidRPr="00B807DA">
          <w:rPr>
            <w:rFonts w:eastAsiaTheme="minorEastAsia"/>
            <w:sz w:val="24"/>
            <w:szCs w:val="24"/>
            <w:lang w:eastAsia="ru-RU"/>
          </w:rPr>
          <w:tab/>
        </w:r>
        <w:r w:rsidR="005B592F" w:rsidRPr="00B807DA">
          <w:rPr>
            <w:rStyle w:val="a9"/>
            <w:sz w:val="24"/>
            <w:szCs w:val="24"/>
          </w:rPr>
          <w:t>State re-registration</w:t>
        </w:r>
        <w:r w:rsidR="005B592F" w:rsidRPr="00B807DA">
          <w:rPr>
            <w:webHidden/>
            <w:sz w:val="24"/>
            <w:szCs w:val="24"/>
          </w:rPr>
          <w:tab/>
        </w:r>
        <w:r w:rsidR="003D421D">
          <w:rPr>
            <w:webHidden/>
            <w:sz w:val="24"/>
            <w:szCs w:val="24"/>
            <w:lang w:val="en-US"/>
          </w:rPr>
          <w:t>8</w:t>
        </w:r>
        <w:bookmarkStart w:id="0" w:name="_GoBack"/>
        <w:bookmarkEnd w:id="0"/>
      </w:hyperlink>
    </w:p>
    <w:p w14:paraId="48A650C1" w14:textId="77777777" w:rsidR="005B592F" w:rsidRPr="008C7C1C" w:rsidRDefault="005B592F" w:rsidP="005B592F">
      <w:pPr>
        <w:spacing w:after="0"/>
        <w:jc w:val="center"/>
        <w:rPr>
          <w:rFonts w:ascii="Times New Roman" w:hAnsi="Times New Roman" w:cs="Times New Roman"/>
          <w:sz w:val="20"/>
          <w:szCs w:val="20"/>
        </w:rPr>
      </w:pPr>
      <w:r w:rsidRPr="00B807DA">
        <w:rPr>
          <w:rFonts w:ascii="Times New Roman" w:hAnsi="Times New Roman" w:cs="Times New Roman"/>
          <w:sz w:val="24"/>
          <w:szCs w:val="24"/>
        </w:rPr>
        <w:fldChar w:fldCharType="end"/>
      </w:r>
    </w:p>
    <w:p w14:paraId="2F74E47D" w14:textId="77777777" w:rsidR="005B592F" w:rsidRPr="008C7C1C" w:rsidRDefault="005B592F" w:rsidP="00633A9F">
      <w:pPr>
        <w:spacing w:after="0"/>
        <w:rPr>
          <w:rFonts w:ascii="Times New Roman" w:hAnsi="Times New Roman" w:cs="Times New Roman"/>
          <w:sz w:val="20"/>
          <w:szCs w:val="20"/>
          <w:lang w:val="en-US"/>
        </w:rPr>
      </w:pPr>
    </w:p>
    <w:tbl>
      <w:tblPr>
        <w:tblW w:w="15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3598"/>
        <w:gridCol w:w="4111"/>
        <w:gridCol w:w="2268"/>
        <w:gridCol w:w="3260"/>
        <w:gridCol w:w="1635"/>
      </w:tblGrid>
      <w:tr w:rsidR="007A46B2" w:rsidRPr="008C7C1C" w14:paraId="156FBB2B" w14:textId="77777777" w:rsidTr="00265536">
        <w:trPr>
          <w:trHeight w:val="20"/>
          <w:tblHeader/>
        </w:trPr>
        <w:tc>
          <w:tcPr>
            <w:tcW w:w="448" w:type="dxa"/>
            <w:shd w:val="clear" w:color="auto" w:fill="BFBFBF" w:themeFill="background1" w:themeFillShade="BF"/>
            <w:vAlign w:val="center"/>
          </w:tcPr>
          <w:p w14:paraId="7F2F5C7C" w14:textId="77777777" w:rsidR="007A46B2" w:rsidRPr="008C7C1C" w:rsidRDefault="007A46B2" w:rsidP="0041665B">
            <w:pPr>
              <w:spacing w:before="60" w:after="60"/>
              <w:jc w:val="center"/>
              <w:rPr>
                <w:rFonts w:ascii="Times New Roman" w:hAnsi="Times New Roman" w:cs="Times New Roman"/>
                <w:b/>
                <w:sz w:val="20"/>
                <w:szCs w:val="20"/>
              </w:rPr>
            </w:pPr>
            <w:r w:rsidRPr="008C7C1C">
              <w:rPr>
                <w:rFonts w:ascii="Times New Roman" w:hAnsi="Times New Roman" w:cs="Times New Roman"/>
                <w:b/>
                <w:sz w:val="20"/>
                <w:szCs w:val="20"/>
              </w:rPr>
              <w:t>No.</w:t>
            </w:r>
          </w:p>
        </w:tc>
        <w:tc>
          <w:tcPr>
            <w:tcW w:w="3598" w:type="dxa"/>
            <w:shd w:val="clear" w:color="auto" w:fill="BFBFBF" w:themeFill="background1" w:themeFillShade="BF"/>
            <w:vAlign w:val="center"/>
          </w:tcPr>
          <w:p w14:paraId="6EA87C76" w14:textId="77777777" w:rsidR="007A46B2" w:rsidRPr="008C7C1C" w:rsidRDefault="007A46B2" w:rsidP="0041665B">
            <w:pPr>
              <w:spacing w:before="60" w:after="60"/>
              <w:jc w:val="center"/>
              <w:rPr>
                <w:rFonts w:ascii="Times New Roman" w:hAnsi="Times New Roman" w:cs="Times New Roman"/>
                <w:b/>
                <w:sz w:val="20"/>
                <w:szCs w:val="20"/>
              </w:rPr>
            </w:pPr>
            <w:r w:rsidRPr="008C7C1C">
              <w:rPr>
                <w:rFonts w:ascii="Times New Roman" w:hAnsi="Times New Roman" w:cs="Times New Roman"/>
                <w:b/>
                <w:sz w:val="20"/>
                <w:szCs w:val="20"/>
              </w:rPr>
              <w:t xml:space="preserve">Stage </w:t>
            </w:r>
          </w:p>
          <w:p w14:paraId="198FCB0B" w14:textId="50BBBBAB" w:rsidR="007A46B2" w:rsidRPr="008C7C1C" w:rsidRDefault="007A46B2" w:rsidP="0041665B">
            <w:pPr>
              <w:spacing w:before="60" w:after="60"/>
              <w:jc w:val="center"/>
              <w:rPr>
                <w:rFonts w:ascii="Times New Roman" w:hAnsi="Times New Roman" w:cs="Times New Roman"/>
                <w:b/>
                <w:sz w:val="20"/>
                <w:szCs w:val="20"/>
              </w:rPr>
            </w:pPr>
          </w:p>
        </w:tc>
        <w:tc>
          <w:tcPr>
            <w:tcW w:w="4111" w:type="dxa"/>
            <w:shd w:val="clear" w:color="auto" w:fill="BFBFBF" w:themeFill="background1" w:themeFillShade="BF"/>
            <w:vAlign w:val="center"/>
          </w:tcPr>
          <w:p w14:paraId="3C6D1181" w14:textId="77777777" w:rsidR="007A46B2" w:rsidRPr="008C7C1C" w:rsidRDefault="007A46B2" w:rsidP="0041665B">
            <w:pPr>
              <w:spacing w:before="60" w:after="60"/>
              <w:jc w:val="center"/>
              <w:rPr>
                <w:rFonts w:ascii="Times New Roman" w:hAnsi="Times New Roman" w:cs="Times New Roman"/>
                <w:b/>
                <w:sz w:val="20"/>
                <w:szCs w:val="20"/>
              </w:rPr>
            </w:pPr>
            <w:r w:rsidRPr="008C7C1C">
              <w:rPr>
                <w:rFonts w:ascii="Times New Roman" w:hAnsi="Times New Roman" w:cs="Times New Roman"/>
                <w:b/>
                <w:sz w:val="20"/>
                <w:szCs w:val="20"/>
              </w:rPr>
              <w:t>Document</w:t>
            </w:r>
          </w:p>
        </w:tc>
        <w:tc>
          <w:tcPr>
            <w:tcW w:w="2268" w:type="dxa"/>
            <w:shd w:val="clear" w:color="auto" w:fill="BFBFBF" w:themeFill="background1" w:themeFillShade="BF"/>
            <w:vAlign w:val="center"/>
          </w:tcPr>
          <w:p w14:paraId="3F4557A8" w14:textId="77777777" w:rsidR="007A46B2" w:rsidRPr="008C7C1C" w:rsidRDefault="007A46B2" w:rsidP="0041665B">
            <w:pPr>
              <w:spacing w:before="60" w:after="60"/>
              <w:jc w:val="center"/>
              <w:rPr>
                <w:rFonts w:ascii="Times New Roman" w:hAnsi="Times New Roman" w:cs="Times New Roman"/>
                <w:b/>
                <w:sz w:val="20"/>
                <w:szCs w:val="20"/>
              </w:rPr>
            </w:pPr>
            <w:r w:rsidRPr="008C7C1C">
              <w:rPr>
                <w:rFonts w:ascii="Times New Roman" w:hAnsi="Times New Roman" w:cs="Times New Roman"/>
                <w:b/>
                <w:sz w:val="20"/>
                <w:szCs w:val="20"/>
              </w:rPr>
              <w:t>Term</w:t>
            </w:r>
          </w:p>
        </w:tc>
        <w:tc>
          <w:tcPr>
            <w:tcW w:w="3260" w:type="dxa"/>
            <w:shd w:val="clear" w:color="auto" w:fill="BFBFBF" w:themeFill="background1" w:themeFillShade="BF"/>
          </w:tcPr>
          <w:p w14:paraId="6240A10B" w14:textId="77777777" w:rsidR="007A46B2" w:rsidRPr="008C7C1C" w:rsidRDefault="007A46B2" w:rsidP="0041665B">
            <w:pPr>
              <w:spacing w:before="60" w:after="60"/>
              <w:jc w:val="center"/>
              <w:rPr>
                <w:rFonts w:ascii="Times New Roman" w:hAnsi="Times New Roman" w:cs="Times New Roman"/>
                <w:b/>
                <w:sz w:val="20"/>
                <w:szCs w:val="20"/>
              </w:rPr>
            </w:pPr>
            <w:r w:rsidRPr="008C7C1C">
              <w:rPr>
                <w:rFonts w:ascii="Times New Roman" w:hAnsi="Times New Roman" w:cs="Times New Roman"/>
                <w:b/>
                <w:sz w:val="20"/>
                <w:szCs w:val="20"/>
              </w:rPr>
              <w:t>Base</w:t>
            </w:r>
          </w:p>
        </w:tc>
        <w:tc>
          <w:tcPr>
            <w:tcW w:w="1635" w:type="dxa"/>
            <w:shd w:val="clear" w:color="auto" w:fill="BFBFBF" w:themeFill="background1" w:themeFillShade="BF"/>
          </w:tcPr>
          <w:p w14:paraId="646F1B1B" w14:textId="5DE50649" w:rsidR="007A46B2" w:rsidRPr="008C7C1C" w:rsidRDefault="00265536" w:rsidP="0041665B">
            <w:pPr>
              <w:spacing w:before="60" w:after="60"/>
              <w:jc w:val="center"/>
              <w:rPr>
                <w:rFonts w:ascii="Times New Roman" w:hAnsi="Times New Roman" w:cs="Times New Roman"/>
                <w:b/>
                <w:sz w:val="20"/>
                <w:szCs w:val="20"/>
              </w:rPr>
            </w:pPr>
            <w:r>
              <w:rPr>
                <w:rFonts w:ascii="Times New Roman" w:hAnsi="Times New Roman" w:cs="Times New Roman"/>
                <w:b/>
                <w:sz w:val="20"/>
                <w:szCs w:val="20"/>
              </w:rPr>
              <w:t>Note</w:t>
            </w:r>
          </w:p>
        </w:tc>
      </w:tr>
      <w:tr w:rsidR="0022596D" w:rsidRPr="008C7C1C" w14:paraId="523EB47B" w14:textId="77777777" w:rsidTr="00265536">
        <w:trPr>
          <w:trHeight w:val="20"/>
        </w:trPr>
        <w:tc>
          <w:tcPr>
            <w:tcW w:w="448" w:type="dxa"/>
          </w:tcPr>
          <w:p w14:paraId="7A6C2AB9" w14:textId="77777777" w:rsidR="0022596D" w:rsidRPr="008C7C1C" w:rsidRDefault="0022596D" w:rsidP="0022596D">
            <w:pPr>
              <w:spacing w:after="60" w:line="240" w:lineRule="auto"/>
              <w:ind w:left="283"/>
              <w:jc w:val="both"/>
              <w:rPr>
                <w:rFonts w:ascii="Times New Roman" w:hAnsi="Times New Roman" w:cs="Times New Roman"/>
                <w:sz w:val="20"/>
                <w:szCs w:val="20"/>
              </w:rPr>
            </w:pPr>
          </w:p>
        </w:tc>
        <w:tc>
          <w:tcPr>
            <w:tcW w:w="14872" w:type="dxa"/>
            <w:gridSpan w:val="5"/>
          </w:tcPr>
          <w:p w14:paraId="22AFEDB3" w14:textId="77777777" w:rsidR="0022596D" w:rsidRPr="008C7C1C" w:rsidRDefault="0022596D" w:rsidP="005B592F">
            <w:pPr>
              <w:pStyle w:val="1"/>
              <w:rPr>
                <w:sz w:val="20"/>
                <w:szCs w:val="20"/>
              </w:rPr>
            </w:pPr>
            <w:bookmarkStart w:id="1" w:name="_Toc57732140"/>
            <w:r w:rsidRPr="008C7C1C">
              <w:rPr>
                <w:sz w:val="20"/>
                <w:szCs w:val="20"/>
              </w:rPr>
              <w:t>Pre-contractual stage</w:t>
            </w:r>
            <w:bookmarkEnd w:id="1"/>
          </w:p>
        </w:tc>
      </w:tr>
      <w:tr w:rsidR="00265536" w:rsidRPr="001C40ED" w14:paraId="171DED4F" w14:textId="77777777" w:rsidTr="00265536">
        <w:trPr>
          <w:trHeight w:val="20"/>
        </w:trPr>
        <w:tc>
          <w:tcPr>
            <w:tcW w:w="448" w:type="dxa"/>
          </w:tcPr>
          <w:p w14:paraId="4A9EC553" w14:textId="77777777" w:rsidR="00265536" w:rsidRPr="008C7C1C" w:rsidRDefault="00265536" w:rsidP="0041665B">
            <w:pPr>
              <w:numPr>
                <w:ilvl w:val="0"/>
                <w:numId w:val="1"/>
              </w:numPr>
              <w:tabs>
                <w:tab w:val="num" w:pos="0"/>
              </w:tabs>
              <w:spacing w:after="60" w:line="240" w:lineRule="auto"/>
              <w:ind w:left="0" w:firstLine="0"/>
              <w:jc w:val="both"/>
              <w:rPr>
                <w:rFonts w:ascii="Times New Roman" w:hAnsi="Times New Roman" w:cs="Times New Roman"/>
                <w:sz w:val="20"/>
                <w:szCs w:val="20"/>
              </w:rPr>
            </w:pPr>
          </w:p>
        </w:tc>
        <w:tc>
          <w:tcPr>
            <w:tcW w:w="3598" w:type="dxa"/>
          </w:tcPr>
          <w:p w14:paraId="1A7E4AB2" w14:textId="77777777" w:rsidR="00265536" w:rsidRPr="004B063A" w:rsidRDefault="00265536" w:rsidP="007A46B2">
            <w:pPr>
              <w:spacing w:after="60"/>
              <w:jc w:val="both"/>
              <w:rPr>
                <w:rFonts w:ascii="Times New Roman" w:hAnsi="Times New Roman" w:cs="Times New Roman"/>
                <w:sz w:val="20"/>
                <w:szCs w:val="20"/>
                <w:lang w:val="en-US"/>
              </w:rPr>
            </w:pPr>
            <w:r w:rsidRPr="004B063A">
              <w:rPr>
                <w:rFonts w:ascii="Times New Roman" w:eastAsia="Times New Roman" w:hAnsi="Times New Roman" w:cs="Times New Roman"/>
                <w:sz w:val="20"/>
                <w:szCs w:val="20"/>
                <w:lang w:val="en-US"/>
              </w:rPr>
              <w:t>LLP notifies the sole participant of another LLP of its intention to buy 100% of the shares</w:t>
            </w:r>
          </w:p>
          <w:p w14:paraId="7CCDD9E4" w14:textId="7A043E17" w:rsidR="00265536" w:rsidRPr="004B063A" w:rsidRDefault="00265536" w:rsidP="0041665B">
            <w:pPr>
              <w:spacing w:after="60"/>
              <w:jc w:val="both"/>
              <w:rPr>
                <w:rFonts w:ascii="Times New Roman" w:hAnsi="Times New Roman" w:cs="Times New Roman"/>
                <w:sz w:val="20"/>
                <w:szCs w:val="20"/>
                <w:lang w:val="en-US"/>
              </w:rPr>
            </w:pPr>
          </w:p>
        </w:tc>
        <w:tc>
          <w:tcPr>
            <w:tcW w:w="4111" w:type="dxa"/>
          </w:tcPr>
          <w:p w14:paraId="50F11AE1" w14:textId="4CA10FDD" w:rsidR="00265536" w:rsidRPr="004B063A" w:rsidRDefault="00265536" w:rsidP="00DE1485">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Written notice</w:t>
            </w:r>
          </w:p>
          <w:p w14:paraId="002CFD56" w14:textId="77777777" w:rsidR="00265536" w:rsidRPr="004B063A" w:rsidRDefault="00265536" w:rsidP="00DE1485">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The notice must contain information about the person and his affiliates who intend to acquire in the aggregate fifty or more percent of the shares in the authorized capital, and about the proposed purchase price of the shares.</w:t>
            </w:r>
          </w:p>
          <w:p w14:paraId="58FF894F" w14:textId="4C36CB65" w:rsidR="00265536" w:rsidRPr="004B063A" w:rsidRDefault="00265536" w:rsidP="00DE1485">
            <w:pPr>
              <w:spacing w:after="60"/>
              <w:jc w:val="both"/>
              <w:rPr>
                <w:rFonts w:ascii="Times New Roman" w:eastAsia="Times New Roman" w:hAnsi="Times New Roman" w:cs="Times New Roman"/>
                <w:sz w:val="20"/>
                <w:szCs w:val="20"/>
                <w:lang w:val="en-US"/>
              </w:rPr>
            </w:pPr>
          </w:p>
        </w:tc>
        <w:tc>
          <w:tcPr>
            <w:tcW w:w="2268" w:type="dxa"/>
          </w:tcPr>
          <w:p w14:paraId="5E4376F6" w14:textId="68E64F06" w:rsidR="00265536" w:rsidRPr="004B063A" w:rsidRDefault="00265536" w:rsidP="0041665B">
            <w:pPr>
              <w:spacing w:after="60"/>
              <w:rPr>
                <w:rFonts w:ascii="Times New Roman" w:hAnsi="Times New Roman" w:cs="Times New Roman"/>
                <w:sz w:val="20"/>
                <w:szCs w:val="20"/>
                <w:lang w:val="en-US"/>
              </w:rPr>
            </w:pPr>
            <w:r w:rsidRPr="004B063A">
              <w:rPr>
                <w:rFonts w:ascii="Times New Roman" w:hAnsi="Times New Roman" w:cs="Times New Roman"/>
                <w:sz w:val="20"/>
                <w:szCs w:val="20"/>
                <w:lang w:val="en-US"/>
              </w:rPr>
              <w:t>The term for responding to the notification of intention by the participants in the partnership must be at least thirty days</w:t>
            </w:r>
          </w:p>
        </w:tc>
        <w:tc>
          <w:tcPr>
            <w:tcW w:w="3260" w:type="dxa"/>
          </w:tcPr>
          <w:p w14:paraId="5D37ACBB" w14:textId="77777777" w:rsidR="00265536" w:rsidRPr="004B063A" w:rsidRDefault="00265536" w:rsidP="0041665B">
            <w:pPr>
              <w:spacing w:after="60"/>
              <w:rPr>
                <w:rFonts w:ascii="Times New Roman" w:hAnsi="Times New Roman" w:cs="Times New Roman"/>
                <w:sz w:val="20"/>
                <w:szCs w:val="20"/>
                <w:lang w:val="en-US"/>
              </w:rPr>
            </w:pPr>
            <w:r w:rsidRPr="004B063A">
              <w:rPr>
                <w:rFonts w:ascii="Times New Roman" w:eastAsia="Times New Roman" w:hAnsi="Times New Roman" w:cs="Times New Roman"/>
                <w:sz w:val="20"/>
                <w:szCs w:val="20"/>
                <w:lang w:val="en-US"/>
              </w:rPr>
              <w:t>P. p. 2-1) Art. 29 of the Law on LLP, a person, independently or jointly with his affiliated persons, intending to acquire in the aggregate fifty or more percent of the shares in the authorized capital of the partnership, sends a notice to all participants in the partnership of his intention.</w:t>
            </w:r>
          </w:p>
        </w:tc>
        <w:tc>
          <w:tcPr>
            <w:tcW w:w="1635" w:type="dxa"/>
          </w:tcPr>
          <w:p w14:paraId="3BEA7B51" w14:textId="77777777" w:rsidR="00265536" w:rsidRPr="004B063A" w:rsidRDefault="00265536" w:rsidP="00DE1485">
            <w:pPr>
              <w:spacing w:after="60"/>
              <w:jc w:val="both"/>
              <w:rPr>
                <w:rFonts w:ascii="Times New Roman" w:eastAsia="Times New Roman" w:hAnsi="Times New Roman" w:cs="Times New Roman"/>
                <w:sz w:val="20"/>
                <w:szCs w:val="20"/>
                <w:lang w:val="en-US" w:eastAsia="ru-RU"/>
              </w:rPr>
            </w:pPr>
            <w:r w:rsidRPr="004B063A">
              <w:rPr>
                <w:rFonts w:ascii="Times New Roman" w:eastAsia="Times New Roman" w:hAnsi="Times New Roman" w:cs="Times New Roman"/>
                <w:sz w:val="20"/>
                <w:szCs w:val="20"/>
                <w:lang w:val="en-US" w:eastAsia="ru-RU"/>
              </w:rPr>
              <w:t>At the same time, the offered price must not be lower than the price that was in the notice of intent to purchase.</w:t>
            </w:r>
          </w:p>
          <w:p w14:paraId="2D89B628" w14:textId="77777777" w:rsidR="00265536" w:rsidRPr="004B063A" w:rsidRDefault="00265536" w:rsidP="0041665B">
            <w:pPr>
              <w:spacing w:after="60"/>
              <w:rPr>
                <w:rFonts w:ascii="Times New Roman" w:hAnsi="Times New Roman" w:cs="Times New Roman"/>
                <w:sz w:val="20"/>
                <w:szCs w:val="20"/>
                <w:lang w:val="en-US"/>
              </w:rPr>
            </w:pPr>
          </w:p>
        </w:tc>
      </w:tr>
      <w:tr w:rsidR="00265536" w:rsidRPr="001C40ED" w14:paraId="077C8D94" w14:textId="77777777" w:rsidTr="008144FC">
        <w:trPr>
          <w:trHeight w:val="20"/>
        </w:trPr>
        <w:tc>
          <w:tcPr>
            <w:tcW w:w="448" w:type="dxa"/>
          </w:tcPr>
          <w:p w14:paraId="53796389" w14:textId="77777777" w:rsidR="00265536" w:rsidRPr="004B063A" w:rsidRDefault="00265536"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224E356C" w14:textId="7182CC54" w:rsidR="00265536" w:rsidRPr="004B063A" w:rsidRDefault="00265536" w:rsidP="0041665B">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Signing a confidentiality and non-disclosure agreement </w:t>
            </w:r>
          </w:p>
          <w:p w14:paraId="7406DCB0" w14:textId="2D643C83" w:rsidR="00265536" w:rsidRPr="004B063A" w:rsidRDefault="00265536" w:rsidP="0041665B">
            <w:pPr>
              <w:spacing w:after="60"/>
              <w:jc w:val="both"/>
              <w:rPr>
                <w:rFonts w:ascii="Times New Roman" w:eastAsia="Times New Roman" w:hAnsi="Times New Roman" w:cs="Times New Roman"/>
                <w:sz w:val="20"/>
                <w:szCs w:val="20"/>
                <w:lang w:val="en-US"/>
              </w:rPr>
            </w:pPr>
          </w:p>
        </w:tc>
        <w:tc>
          <w:tcPr>
            <w:tcW w:w="4111" w:type="dxa"/>
          </w:tcPr>
          <w:p w14:paraId="464D4ED6" w14:textId="3C143D2D" w:rsidR="00265536" w:rsidRPr="004B063A" w:rsidRDefault="00265536" w:rsidP="00DE1485">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Confidentiality and non-disclosure agreements</w:t>
            </w:r>
          </w:p>
        </w:tc>
        <w:tc>
          <w:tcPr>
            <w:tcW w:w="2268" w:type="dxa"/>
          </w:tcPr>
          <w:p w14:paraId="1ED64E2C" w14:textId="77777777" w:rsidR="00265536" w:rsidRPr="004B063A" w:rsidRDefault="00265536" w:rsidP="0041665B">
            <w:pPr>
              <w:spacing w:after="60"/>
              <w:rPr>
                <w:rFonts w:ascii="Times New Roman" w:hAnsi="Times New Roman" w:cs="Times New Roman"/>
                <w:sz w:val="20"/>
                <w:szCs w:val="20"/>
                <w:lang w:val="en-US"/>
              </w:rPr>
            </w:pPr>
          </w:p>
        </w:tc>
        <w:tc>
          <w:tcPr>
            <w:tcW w:w="3260" w:type="dxa"/>
          </w:tcPr>
          <w:p w14:paraId="1E81AD14" w14:textId="77777777" w:rsidR="00265536" w:rsidRPr="004B063A" w:rsidRDefault="00265536" w:rsidP="0041665B">
            <w:pPr>
              <w:spacing w:after="60"/>
              <w:rPr>
                <w:rFonts w:ascii="Times New Roman" w:eastAsia="Times New Roman" w:hAnsi="Times New Roman" w:cs="Times New Roman"/>
                <w:sz w:val="20"/>
                <w:szCs w:val="20"/>
                <w:lang w:val="en-US"/>
              </w:rPr>
            </w:pPr>
          </w:p>
        </w:tc>
        <w:tc>
          <w:tcPr>
            <w:tcW w:w="1635" w:type="dxa"/>
          </w:tcPr>
          <w:p w14:paraId="6FD9897E" w14:textId="33EACE8B" w:rsidR="00265536" w:rsidRPr="004B063A" w:rsidRDefault="00265536" w:rsidP="00DE1485">
            <w:pPr>
              <w:spacing w:after="60"/>
              <w:jc w:val="both"/>
              <w:rPr>
                <w:rFonts w:ascii="Times New Roman" w:eastAsia="Times New Roman" w:hAnsi="Times New Roman" w:cs="Times New Roman"/>
                <w:sz w:val="20"/>
                <w:szCs w:val="20"/>
                <w:lang w:val="en-US" w:eastAsia="ru-RU"/>
              </w:rPr>
            </w:pPr>
            <w:r w:rsidRPr="004B063A">
              <w:rPr>
                <w:rFonts w:ascii="Times New Roman" w:eastAsia="Times New Roman" w:hAnsi="Times New Roman" w:cs="Times New Roman"/>
                <w:sz w:val="20"/>
                <w:szCs w:val="20"/>
                <w:lang w:val="en-US" w:eastAsia="ru-RU"/>
              </w:rPr>
              <w:t>We recommend concluding a similar agreement for the confidentiality of information.</w:t>
            </w:r>
          </w:p>
        </w:tc>
      </w:tr>
      <w:tr w:rsidR="00265536" w:rsidRPr="001C40ED" w14:paraId="735A5283" w14:textId="77777777" w:rsidTr="00290537">
        <w:trPr>
          <w:trHeight w:val="20"/>
        </w:trPr>
        <w:tc>
          <w:tcPr>
            <w:tcW w:w="448" w:type="dxa"/>
          </w:tcPr>
          <w:p w14:paraId="697C0FF7" w14:textId="77777777" w:rsidR="00265536" w:rsidRPr="004B063A" w:rsidRDefault="00265536"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0873BAC2" w14:textId="77777777" w:rsidR="00265536" w:rsidRPr="004B063A" w:rsidRDefault="00265536" w:rsidP="0041665B">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The first stage of legal Due Diligence</w:t>
            </w:r>
          </w:p>
          <w:p w14:paraId="136747EC" w14:textId="3100D838" w:rsidR="00265536" w:rsidRPr="004B063A" w:rsidRDefault="00265536" w:rsidP="00855B08">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Emphasize the check on the following points, but not limited to:</w:t>
            </w:r>
          </w:p>
          <w:p w14:paraId="52F5A5C0" w14:textId="0B03EC85" w:rsidR="00265536" w:rsidRPr="001C40ED" w:rsidRDefault="00265536" w:rsidP="00855B08">
            <w:pPr>
              <w:spacing w:after="60"/>
              <w:jc w:val="both"/>
              <w:rPr>
                <w:rFonts w:ascii="Times New Roman" w:eastAsia="Times New Roman" w:hAnsi="Times New Roman" w:cs="Times New Roman"/>
                <w:sz w:val="20"/>
                <w:szCs w:val="20"/>
                <w:lang w:val="en-US"/>
              </w:rPr>
            </w:pPr>
            <w:r w:rsidRPr="001C40ED">
              <w:rPr>
                <w:rFonts w:ascii="Times New Roman" w:eastAsia="Times New Roman" w:hAnsi="Times New Roman" w:cs="Times New Roman"/>
                <w:sz w:val="20"/>
                <w:szCs w:val="20"/>
                <w:lang w:val="en-US"/>
              </w:rPr>
              <w:t>a. Documents of title;</w:t>
            </w:r>
          </w:p>
          <w:p w14:paraId="34E48E58" w14:textId="6DA381C2" w:rsidR="00265536" w:rsidRPr="004B063A" w:rsidRDefault="00265536" w:rsidP="00855B08">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b. title and identification documents for real estate objects, surrounding infrastructure, etc.</w:t>
            </w:r>
          </w:p>
          <w:p w14:paraId="3F358668" w14:textId="34B5F453" w:rsidR="00265536" w:rsidRPr="004B063A" w:rsidRDefault="00265536" w:rsidP="00855B08">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c. permits, licenses and administrative approvals;</w:t>
            </w:r>
          </w:p>
          <w:p w14:paraId="7ED633B5" w14:textId="7026B075" w:rsidR="00265536" w:rsidRPr="004B063A" w:rsidRDefault="00265536" w:rsidP="00265536">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d. encumbrances, debts, loans and large liabilities of LLP (tax and budgetary, contractual, labor, license, insurance, litigation and claims, risks in the field of labor protection and environmental protection).</w:t>
            </w:r>
          </w:p>
        </w:tc>
        <w:tc>
          <w:tcPr>
            <w:tcW w:w="4111" w:type="dxa"/>
          </w:tcPr>
          <w:p w14:paraId="7A8A94D2" w14:textId="0929607D" w:rsidR="00265536" w:rsidRPr="004B063A" w:rsidRDefault="00265536" w:rsidP="00DE1485">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Preliminary report on the results of the first stage of legal Due Diligence</w:t>
            </w:r>
          </w:p>
        </w:tc>
        <w:tc>
          <w:tcPr>
            <w:tcW w:w="2268" w:type="dxa"/>
          </w:tcPr>
          <w:p w14:paraId="317C360C" w14:textId="6ECC4593" w:rsidR="00265536" w:rsidRPr="008C7C1C" w:rsidRDefault="00265536" w:rsidP="0041665B">
            <w:pPr>
              <w:spacing w:after="60"/>
              <w:rPr>
                <w:rFonts w:ascii="Times New Roman" w:hAnsi="Times New Roman" w:cs="Times New Roman"/>
                <w:sz w:val="20"/>
                <w:szCs w:val="20"/>
              </w:rPr>
            </w:pPr>
            <w:r>
              <w:rPr>
                <w:rFonts w:ascii="Times New Roman" w:hAnsi="Times New Roman" w:cs="Times New Roman"/>
                <w:sz w:val="20"/>
                <w:szCs w:val="20"/>
              </w:rPr>
              <w:t>By agreement</w:t>
            </w:r>
          </w:p>
        </w:tc>
        <w:tc>
          <w:tcPr>
            <w:tcW w:w="3260" w:type="dxa"/>
          </w:tcPr>
          <w:p w14:paraId="05324AA5" w14:textId="77777777" w:rsidR="00265536" w:rsidRPr="008C7C1C" w:rsidRDefault="00265536" w:rsidP="0041665B">
            <w:pPr>
              <w:spacing w:after="60"/>
              <w:rPr>
                <w:rFonts w:ascii="Times New Roman" w:eastAsia="Times New Roman" w:hAnsi="Times New Roman" w:cs="Times New Roman"/>
                <w:sz w:val="20"/>
                <w:szCs w:val="20"/>
              </w:rPr>
            </w:pPr>
          </w:p>
        </w:tc>
        <w:tc>
          <w:tcPr>
            <w:tcW w:w="1635" w:type="dxa"/>
          </w:tcPr>
          <w:p w14:paraId="75665F13" w14:textId="6FAD98D6" w:rsidR="00265536" w:rsidRPr="004B063A" w:rsidRDefault="00265536" w:rsidP="00DE1485">
            <w:pPr>
              <w:spacing w:after="60"/>
              <w:jc w:val="both"/>
              <w:rPr>
                <w:rFonts w:ascii="Times New Roman" w:eastAsia="Times New Roman" w:hAnsi="Times New Roman" w:cs="Times New Roman"/>
                <w:sz w:val="20"/>
                <w:szCs w:val="20"/>
                <w:lang w:val="en-US" w:eastAsia="ru-RU"/>
              </w:rPr>
            </w:pPr>
            <w:r w:rsidRPr="004B063A">
              <w:rPr>
                <w:rFonts w:ascii="Times New Roman" w:eastAsia="Times New Roman" w:hAnsi="Times New Roman" w:cs="Times New Roman"/>
                <w:sz w:val="20"/>
                <w:szCs w:val="20"/>
                <w:lang w:val="en-US" w:eastAsia="ru-RU"/>
              </w:rPr>
              <w:t xml:space="preserve">The first stage of legal Due Diligence will allow for diagnostics and form the first impression of the object of sale </w:t>
            </w:r>
          </w:p>
        </w:tc>
      </w:tr>
      <w:tr w:rsidR="00265536" w:rsidRPr="001C40ED" w14:paraId="7F26FF9A" w14:textId="77777777" w:rsidTr="00707202">
        <w:trPr>
          <w:trHeight w:val="20"/>
        </w:trPr>
        <w:tc>
          <w:tcPr>
            <w:tcW w:w="448" w:type="dxa"/>
          </w:tcPr>
          <w:p w14:paraId="50502255" w14:textId="77777777" w:rsidR="00265536" w:rsidRPr="004B063A" w:rsidRDefault="00265536"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06461435" w14:textId="3496FC74" w:rsidR="00265536" w:rsidRPr="004B063A" w:rsidRDefault="00265536" w:rsidP="00265536">
            <w:pPr>
              <w:spacing w:after="12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Signing of the Agreement of Intent (memorandum, protocol) </w:t>
            </w:r>
          </w:p>
          <w:p w14:paraId="698A04B5" w14:textId="0F6DC8C1" w:rsidR="00265536" w:rsidRPr="004B063A" w:rsidRDefault="00265536"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Not being a civil law contract and not entailing legal consequences, the Agreement will secure: </w:t>
            </w:r>
          </w:p>
          <w:p w14:paraId="6EE3892A" w14:textId="77777777" w:rsidR="00265536" w:rsidRPr="004B063A" w:rsidRDefault="00265536"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a) understanding of the parties to the Transaction;</w:t>
            </w:r>
          </w:p>
          <w:p w14:paraId="2A12024D" w14:textId="77777777" w:rsidR="00265536" w:rsidRPr="004B063A" w:rsidRDefault="00265536"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b) obligations and rights of the parties to the Transaction;</w:t>
            </w:r>
          </w:p>
          <w:p w14:paraId="0FEF0922" w14:textId="77777777" w:rsidR="00265536" w:rsidRPr="004B063A" w:rsidRDefault="00265536"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c) the subject of the future Transaction;</w:t>
            </w:r>
          </w:p>
          <w:p w14:paraId="603E29ED" w14:textId="77777777" w:rsidR="00265536" w:rsidRPr="004B063A" w:rsidRDefault="00265536"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d) timing </w:t>
            </w:r>
          </w:p>
          <w:p w14:paraId="4BDB5B5D" w14:textId="77777777" w:rsidR="00265536" w:rsidRPr="004B063A" w:rsidRDefault="00265536"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e) cost coordination and payment procedure</w:t>
            </w:r>
          </w:p>
          <w:p w14:paraId="394CD8B3" w14:textId="77777777" w:rsidR="00265536" w:rsidRPr="004B063A" w:rsidRDefault="00265536"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f) special conditions</w:t>
            </w:r>
          </w:p>
          <w:p w14:paraId="542223AB" w14:textId="77777777" w:rsidR="00265536" w:rsidRPr="004B063A" w:rsidRDefault="00265536"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g) confidentiality,</w:t>
            </w:r>
          </w:p>
          <w:p w14:paraId="3CBF2C64" w14:textId="77777777" w:rsidR="00265536" w:rsidRPr="004B063A" w:rsidRDefault="00265536"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lastRenderedPageBreak/>
              <w:t>h) the procedure for communication and exchange of information in the process of preparing the closing of the transaction (for example, the Seller provides access to all the requested information and documentation).</w:t>
            </w:r>
          </w:p>
        </w:tc>
        <w:tc>
          <w:tcPr>
            <w:tcW w:w="4111" w:type="dxa"/>
          </w:tcPr>
          <w:p w14:paraId="0D16C6EE" w14:textId="61DF2FE7" w:rsidR="00265536" w:rsidRPr="008C7C1C" w:rsidRDefault="00265536" w:rsidP="00DA25E6">
            <w:pPr>
              <w:spacing w:after="60"/>
              <w:jc w:val="both"/>
              <w:rPr>
                <w:rFonts w:ascii="Times New Roman" w:eastAsia="Times New Roman" w:hAnsi="Times New Roman" w:cs="Times New Roman"/>
                <w:sz w:val="20"/>
                <w:szCs w:val="20"/>
              </w:rPr>
            </w:pPr>
            <w:r w:rsidRPr="00265536">
              <w:rPr>
                <w:rFonts w:ascii="Times New Roman" w:eastAsia="Times New Roman" w:hAnsi="Times New Roman" w:cs="Times New Roman"/>
                <w:sz w:val="20"/>
                <w:szCs w:val="20"/>
              </w:rPr>
              <w:lastRenderedPageBreak/>
              <w:t>Letter of intent</w:t>
            </w:r>
          </w:p>
        </w:tc>
        <w:tc>
          <w:tcPr>
            <w:tcW w:w="2268" w:type="dxa"/>
          </w:tcPr>
          <w:p w14:paraId="3DDA60B1" w14:textId="77777777" w:rsidR="00265536" w:rsidRPr="008C7C1C" w:rsidRDefault="00265536" w:rsidP="0041665B">
            <w:pPr>
              <w:spacing w:after="60"/>
              <w:rPr>
                <w:rFonts w:ascii="Times New Roman" w:hAnsi="Times New Roman" w:cs="Times New Roman"/>
                <w:sz w:val="20"/>
                <w:szCs w:val="20"/>
              </w:rPr>
            </w:pPr>
          </w:p>
        </w:tc>
        <w:tc>
          <w:tcPr>
            <w:tcW w:w="3260" w:type="dxa"/>
          </w:tcPr>
          <w:p w14:paraId="7DBC4408" w14:textId="1A4AD4D4" w:rsidR="00265536" w:rsidRPr="004B063A" w:rsidRDefault="00265536" w:rsidP="00775EE9">
            <w:pPr>
              <w:spacing w:after="60"/>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Clause 7 of Article 390 of the Civil Code of the Republic of Kazakhstan </w:t>
            </w:r>
          </w:p>
        </w:tc>
        <w:tc>
          <w:tcPr>
            <w:tcW w:w="1635" w:type="dxa"/>
          </w:tcPr>
          <w:p w14:paraId="3A8AF007" w14:textId="7E16243C" w:rsidR="00265536" w:rsidRPr="004B063A" w:rsidRDefault="00265536" w:rsidP="00DE1485">
            <w:pPr>
              <w:spacing w:after="60"/>
              <w:jc w:val="both"/>
              <w:rPr>
                <w:rFonts w:ascii="Times New Roman" w:eastAsia="Times New Roman" w:hAnsi="Times New Roman" w:cs="Times New Roman"/>
                <w:sz w:val="20"/>
                <w:szCs w:val="20"/>
                <w:lang w:val="en-US" w:eastAsia="ru-RU"/>
              </w:rPr>
            </w:pPr>
            <w:r w:rsidRPr="004B063A">
              <w:rPr>
                <w:rFonts w:ascii="Times New Roman" w:eastAsia="Times New Roman" w:hAnsi="Times New Roman" w:cs="Times New Roman"/>
                <w:sz w:val="20"/>
                <w:szCs w:val="20"/>
                <w:lang w:val="en-US" w:eastAsia="ru-RU"/>
              </w:rPr>
              <w:t xml:space="preserve">We recommend signing such an agreement, memorandum or protocol for a general understanding of the upcoming transaction. </w:t>
            </w:r>
          </w:p>
        </w:tc>
      </w:tr>
      <w:tr w:rsidR="00EB09F5" w:rsidRPr="001C40ED" w14:paraId="2C70D34D" w14:textId="77777777" w:rsidTr="00C77042">
        <w:trPr>
          <w:trHeight w:val="20"/>
        </w:trPr>
        <w:tc>
          <w:tcPr>
            <w:tcW w:w="448" w:type="dxa"/>
          </w:tcPr>
          <w:p w14:paraId="7143678B" w14:textId="77777777" w:rsidR="00EB09F5" w:rsidRPr="004B063A" w:rsidRDefault="00EB09F5"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081CFE18" w14:textId="77777777" w:rsidR="00EB09F5" w:rsidRPr="004B063A" w:rsidRDefault="00EB09F5" w:rsidP="009F758C">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If the parties intend to secure the transaction, a decision is made on how to secure the transaction.</w:t>
            </w:r>
          </w:p>
          <w:p w14:paraId="4AAC07F5" w14:textId="77777777" w:rsidR="00EB09F5" w:rsidRPr="004B063A" w:rsidRDefault="00EB09F5" w:rsidP="009F758C">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In case of payment for the transaction after a certain time, the buyer provides a pledge (mortgage).</w:t>
            </w:r>
          </w:p>
          <w:p w14:paraId="31834DE3" w14:textId="77777777" w:rsidR="00EB09F5" w:rsidRPr="004B063A" w:rsidRDefault="00EB09F5" w:rsidP="009F758C">
            <w:pPr>
              <w:spacing w:after="0"/>
              <w:jc w:val="both"/>
              <w:rPr>
                <w:rFonts w:ascii="Times New Roman" w:eastAsia="Times New Roman" w:hAnsi="Times New Roman" w:cs="Times New Roman"/>
                <w:sz w:val="20"/>
                <w:szCs w:val="20"/>
                <w:lang w:val="en-US"/>
              </w:rPr>
            </w:pPr>
          </w:p>
          <w:p w14:paraId="04EC32D8" w14:textId="10B3540C" w:rsidR="00EB09F5" w:rsidRPr="004B063A" w:rsidRDefault="00EB09F5" w:rsidP="009F758C">
            <w:pPr>
              <w:spacing w:after="0"/>
              <w:jc w:val="both"/>
              <w:rPr>
                <w:rFonts w:ascii="Times New Roman" w:eastAsia="Times New Roman" w:hAnsi="Times New Roman" w:cs="Times New Roman"/>
                <w:sz w:val="20"/>
                <w:szCs w:val="20"/>
                <w:lang w:val="en-US"/>
              </w:rPr>
            </w:pPr>
          </w:p>
        </w:tc>
        <w:tc>
          <w:tcPr>
            <w:tcW w:w="4111" w:type="dxa"/>
          </w:tcPr>
          <w:p w14:paraId="519A5B97" w14:textId="77777777" w:rsidR="00EB09F5" w:rsidRPr="004B063A" w:rsidRDefault="00EB09F5" w:rsidP="009F758C">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Pledge agreement,</w:t>
            </w:r>
          </w:p>
          <w:p w14:paraId="51FB84DF" w14:textId="77777777" w:rsidR="00EB09F5" w:rsidRPr="004B063A" w:rsidRDefault="00EB09F5" w:rsidP="009F758C">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Deposit agreements,</w:t>
            </w:r>
          </w:p>
          <w:p w14:paraId="652247EF" w14:textId="77777777" w:rsidR="00EB09F5" w:rsidRPr="004B063A" w:rsidRDefault="00EB09F5" w:rsidP="009F758C">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Guarantee agreement, bank guarantee,</w:t>
            </w:r>
          </w:p>
          <w:p w14:paraId="74674E73" w14:textId="747F394E" w:rsidR="00EB09F5" w:rsidRPr="00DA25E6" w:rsidRDefault="00EB09F5" w:rsidP="009F758C">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Surety agreements</w:t>
            </w:r>
          </w:p>
        </w:tc>
        <w:tc>
          <w:tcPr>
            <w:tcW w:w="2268" w:type="dxa"/>
          </w:tcPr>
          <w:p w14:paraId="3A3984A5" w14:textId="77777777" w:rsidR="00EB09F5" w:rsidRPr="008C7C1C" w:rsidRDefault="00EB09F5" w:rsidP="0041665B">
            <w:pPr>
              <w:spacing w:after="60"/>
              <w:rPr>
                <w:rFonts w:ascii="Times New Roman" w:hAnsi="Times New Roman" w:cs="Times New Roman"/>
                <w:sz w:val="20"/>
                <w:szCs w:val="20"/>
              </w:rPr>
            </w:pPr>
          </w:p>
        </w:tc>
        <w:tc>
          <w:tcPr>
            <w:tcW w:w="3260" w:type="dxa"/>
          </w:tcPr>
          <w:p w14:paraId="4BA272F3" w14:textId="1B248E1F" w:rsidR="00EB09F5" w:rsidRPr="004B063A" w:rsidRDefault="00EB09F5" w:rsidP="009F758C">
            <w:pPr>
              <w:spacing w:after="60"/>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Chapter 18 of the Civil Code of the Republic of Kazakhstan</w:t>
            </w:r>
          </w:p>
        </w:tc>
        <w:tc>
          <w:tcPr>
            <w:tcW w:w="1635" w:type="dxa"/>
          </w:tcPr>
          <w:p w14:paraId="3220B948" w14:textId="69915949" w:rsidR="00EB09F5" w:rsidRPr="004B063A" w:rsidRDefault="00EB09F5" w:rsidP="00DE1485">
            <w:pPr>
              <w:spacing w:after="60"/>
              <w:jc w:val="both"/>
              <w:rPr>
                <w:rFonts w:ascii="Times New Roman" w:eastAsia="Times New Roman" w:hAnsi="Times New Roman" w:cs="Times New Roman"/>
                <w:sz w:val="20"/>
                <w:szCs w:val="20"/>
                <w:lang w:val="en-US" w:eastAsia="ru-RU"/>
              </w:rPr>
            </w:pPr>
            <w:r w:rsidRPr="004B063A">
              <w:rPr>
                <w:rFonts w:ascii="Times New Roman" w:eastAsia="Times New Roman" w:hAnsi="Times New Roman" w:cs="Times New Roman"/>
                <w:sz w:val="20"/>
                <w:szCs w:val="20"/>
                <w:lang w:val="en-US" w:eastAsia="ru-RU"/>
              </w:rPr>
              <w:t>We recommend that in a transaction involving payment after the conclusion of the purchase and sale agreement, ensure the transaction in one of the ways provided for by the Civil Code of the Republic of Kazakhstan,</w:t>
            </w:r>
          </w:p>
        </w:tc>
      </w:tr>
      <w:tr w:rsidR="00EB09F5" w:rsidRPr="001C40ED" w14:paraId="695893E5" w14:textId="77777777" w:rsidTr="008570E2">
        <w:trPr>
          <w:trHeight w:val="20"/>
        </w:trPr>
        <w:tc>
          <w:tcPr>
            <w:tcW w:w="448" w:type="dxa"/>
            <w:tcBorders>
              <w:top w:val="single" w:sz="4" w:space="0" w:color="auto"/>
              <w:left w:val="single" w:sz="4" w:space="0" w:color="auto"/>
              <w:bottom w:val="single" w:sz="4" w:space="0" w:color="auto"/>
              <w:right w:val="single" w:sz="4" w:space="0" w:color="auto"/>
            </w:tcBorders>
          </w:tcPr>
          <w:p w14:paraId="5B385028" w14:textId="6F2E7F1A" w:rsidR="00EB09F5" w:rsidRPr="004B063A" w:rsidRDefault="00EB09F5" w:rsidP="001E08C6">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Borders>
              <w:top w:val="single" w:sz="4" w:space="0" w:color="auto"/>
              <w:left w:val="single" w:sz="4" w:space="0" w:color="auto"/>
              <w:bottom w:val="single" w:sz="4" w:space="0" w:color="auto"/>
              <w:right w:val="single" w:sz="4" w:space="0" w:color="auto"/>
            </w:tcBorders>
          </w:tcPr>
          <w:p w14:paraId="22B70EBE" w14:textId="56E7420A" w:rsidR="00EB09F5" w:rsidRPr="004B063A" w:rsidRDefault="00EB09F5" w:rsidP="00D20A33">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Consent of the spouse of the sole participant (natural person) to alienate the share</w:t>
            </w:r>
          </w:p>
        </w:tc>
        <w:tc>
          <w:tcPr>
            <w:tcW w:w="4111" w:type="dxa"/>
            <w:tcBorders>
              <w:top w:val="single" w:sz="4" w:space="0" w:color="auto"/>
              <w:left w:val="single" w:sz="4" w:space="0" w:color="auto"/>
              <w:bottom w:val="single" w:sz="4" w:space="0" w:color="auto"/>
              <w:right w:val="single" w:sz="4" w:space="0" w:color="auto"/>
            </w:tcBorders>
          </w:tcPr>
          <w:p w14:paraId="63BD4B1D" w14:textId="5381E040" w:rsidR="00EB09F5" w:rsidRPr="004B063A" w:rsidRDefault="00EB09F5" w:rsidP="00D20A33">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 Notarized consent of a spouse to alienate a share</w:t>
            </w:r>
          </w:p>
        </w:tc>
        <w:tc>
          <w:tcPr>
            <w:tcW w:w="2268" w:type="dxa"/>
            <w:tcBorders>
              <w:top w:val="single" w:sz="4" w:space="0" w:color="auto"/>
              <w:left w:val="single" w:sz="4" w:space="0" w:color="auto"/>
              <w:bottom w:val="single" w:sz="4" w:space="0" w:color="auto"/>
              <w:right w:val="single" w:sz="4" w:space="0" w:color="auto"/>
            </w:tcBorders>
          </w:tcPr>
          <w:p w14:paraId="6FF78B4C" w14:textId="77777777" w:rsidR="00EB09F5" w:rsidRPr="004B063A" w:rsidRDefault="00EB09F5" w:rsidP="00D4217C">
            <w:pPr>
              <w:spacing w:after="60"/>
              <w:rPr>
                <w:rFonts w:ascii="Times New Roman" w:hAnsi="Times New Roman" w:cs="Times New Roman"/>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06A7D4CE" w14:textId="77777777" w:rsidR="00EB09F5" w:rsidRPr="004B063A" w:rsidRDefault="00EB09F5" w:rsidP="00D4217C">
            <w:pPr>
              <w:spacing w:after="60"/>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Clause 2 of Article 33, Clause 3 of Article 34 of the Marriage (Matrimony) and Family Code.</w:t>
            </w:r>
          </w:p>
          <w:p w14:paraId="6F9B8F6A" w14:textId="77777777" w:rsidR="00EB09F5" w:rsidRPr="004B063A" w:rsidRDefault="00EB09F5" w:rsidP="00D4217C">
            <w:pPr>
              <w:spacing w:after="60"/>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Clause 2 of Article 29 of the Law on LLP</w:t>
            </w:r>
          </w:p>
        </w:tc>
        <w:tc>
          <w:tcPr>
            <w:tcW w:w="1635" w:type="dxa"/>
            <w:tcBorders>
              <w:top w:val="single" w:sz="4" w:space="0" w:color="auto"/>
              <w:left w:val="single" w:sz="4" w:space="0" w:color="auto"/>
              <w:bottom w:val="single" w:sz="4" w:space="0" w:color="auto"/>
              <w:right w:val="single" w:sz="4" w:space="0" w:color="auto"/>
            </w:tcBorders>
          </w:tcPr>
          <w:p w14:paraId="3DD9D8A2" w14:textId="77777777" w:rsidR="00EB09F5" w:rsidRPr="004B063A" w:rsidRDefault="00EB09F5" w:rsidP="00D4217C">
            <w:pPr>
              <w:spacing w:after="60"/>
              <w:jc w:val="both"/>
              <w:rPr>
                <w:rFonts w:ascii="Times New Roman" w:eastAsia="Times New Roman" w:hAnsi="Times New Roman" w:cs="Times New Roman"/>
                <w:sz w:val="20"/>
                <w:szCs w:val="20"/>
                <w:lang w:val="en-US" w:eastAsia="ru-RU"/>
              </w:rPr>
            </w:pPr>
          </w:p>
        </w:tc>
      </w:tr>
      <w:tr w:rsidR="00EB09F5" w:rsidRPr="001C40ED" w14:paraId="4612B40B" w14:textId="77777777" w:rsidTr="008A2BBE">
        <w:trPr>
          <w:trHeight w:val="20"/>
        </w:trPr>
        <w:tc>
          <w:tcPr>
            <w:tcW w:w="448" w:type="dxa"/>
            <w:tcBorders>
              <w:top w:val="single" w:sz="4" w:space="0" w:color="auto"/>
              <w:left w:val="single" w:sz="4" w:space="0" w:color="auto"/>
              <w:bottom w:val="single" w:sz="4" w:space="0" w:color="auto"/>
              <w:right w:val="single" w:sz="4" w:space="0" w:color="auto"/>
            </w:tcBorders>
          </w:tcPr>
          <w:p w14:paraId="062E9841" w14:textId="77777777" w:rsidR="00EB09F5" w:rsidRPr="004B063A" w:rsidRDefault="00EB09F5" w:rsidP="001E08C6">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Borders>
              <w:top w:val="single" w:sz="4" w:space="0" w:color="auto"/>
              <w:left w:val="single" w:sz="4" w:space="0" w:color="auto"/>
              <w:bottom w:val="single" w:sz="4" w:space="0" w:color="auto"/>
              <w:right w:val="single" w:sz="4" w:space="0" w:color="auto"/>
            </w:tcBorders>
          </w:tcPr>
          <w:p w14:paraId="0855AF42" w14:textId="2A6CE124" w:rsidR="00EB09F5" w:rsidRPr="004B063A" w:rsidRDefault="00EB09F5" w:rsidP="001E08C6">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The buyer's decision to purchase a 100% s</w:t>
            </w:r>
            <w:r w:rsidR="001C40ED">
              <w:rPr>
                <w:rFonts w:ascii="Times New Roman" w:eastAsia="Times New Roman" w:hAnsi="Times New Roman" w:cs="Times New Roman"/>
                <w:sz w:val="20"/>
                <w:szCs w:val="20"/>
                <w:lang w:val="en-US"/>
              </w:rPr>
              <w:t>hare</w:t>
            </w:r>
            <w:r w:rsidRPr="004B063A">
              <w:rPr>
                <w:rFonts w:ascii="Times New Roman" w:eastAsia="Times New Roman" w:hAnsi="Times New Roman" w:cs="Times New Roman"/>
                <w:sz w:val="20"/>
                <w:szCs w:val="20"/>
                <w:lang w:val="en-US"/>
              </w:rPr>
              <w:t xml:space="preserve"> in the authorized capital of another LLP, including the provision of a pledge.</w:t>
            </w:r>
          </w:p>
          <w:p w14:paraId="6F017214" w14:textId="461DE14A" w:rsidR="00EB09F5" w:rsidRPr="004B063A" w:rsidRDefault="00EB09F5" w:rsidP="00D4217C">
            <w:pPr>
              <w:spacing w:after="0"/>
              <w:jc w:val="both"/>
              <w:rPr>
                <w:rFonts w:ascii="Times New Roman" w:eastAsia="Times New Roman" w:hAnsi="Times New Roman" w:cs="Times New Roman"/>
                <w:sz w:val="20"/>
                <w:szCs w:val="20"/>
                <w:lang w:val="en-US"/>
              </w:rPr>
            </w:pPr>
          </w:p>
        </w:tc>
        <w:tc>
          <w:tcPr>
            <w:tcW w:w="4111" w:type="dxa"/>
            <w:tcBorders>
              <w:top w:val="single" w:sz="4" w:space="0" w:color="auto"/>
              <w:left w:val="single" w:sz="4" w:space="0" w:color="auto"/>
              <w:bottom w:val="single" w:sz="4" w:space="0" w:color="auto"/>
              <w:right w:val="single" w:sz="4" w:space="0" w:color="auto"/>
            </w:tcBorders>
          </w:tcPr>
          <w:p w14:paraId="1061D0C4" w14:textId="59B96E6F" w:rsidR="00EB09F5" w:rsidRPr="004B063A" w:rsidRDefault="00EB09F5" w:rsidP="001E08C6">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 1.</w:t>
            </w:r>
            <w:r w:rsidRPr="004B063A">
              <w:rPr>
                <w:rFonts w:ascii="Times New Roman" w:eastAsia="Times New Roman" w:hAnsi="Times New Roman" w:cs="Times New Roman"/>
                <w:sz w:val="20"/>
                <w:szCs w:val="20"/>
                <w:lang w:val="en-US"/>
              </w:rPr>
              <w:tab/>
              <w:t xml:space="preserve">Protocol </w:t>
            </w:r>
            <w:r w:rsidR="00D20A33" w:rsidRPr="004B063A">
              <w:rPr>
                <w:rFonts w:ascii="Times New Roman" w:eastAsia="Times New Roman" w:hAnsi="Times New Roman" w:cs="Times New Roman"/>
                <w:sz w:val="20"/>
                <w:szCs w:val="20"/>
                <w:lang w:val="en-US"/>
              </w:rPr>
              <w:t>The LLP must contain a decision on:</w:t>
            </w:r>
          </w:p>
          <w:p w14:paraId="2D351E86" w14:textId="1C7A6207" w:rsidR="00EB09F5" w:rsidRPr="004B063A" w:rsidRDefault="00EB09F5" w:rsidP="001E08C6">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purchase of a 100% s</w:t>
            </w:r>
            <w:r w:rsidR="001C40ED">
              <w:rPr>
                <w:rFonts w:ascii="Times New Roman" w:eastAsia="Times New Roman" w:hAnsi="Times New Roman" w:cs="Times New Roman"/>
                <w:sz w:val="20"/>
                <w:szCs w:val="20"/>
                <w:lang w:val="en-US"/>
              </w:rPr>
              <w:t>har</w:t>
            </w:r>
            <w:r w:rsidRPr="004B063A">
              <w:rPr>
                <w:rFonts w:ascii="Times New Roman" w:eastAsia="Times New Roman" w:hAnsi="Times New Roman" w:cs="Times New Roman"/>
                <w:sz w:val="20"/>
                <w:szCs w:val="20"/>
                <w:lang w:val="en-US"/>
              </w:rPr>
              <w:t>e in the authorized capital of the LLP;</w:t>
            </w:r>
          </w:p>
          <w:p w14:paraId="60C41242" w14:textId="430AF637" w:rsidR="00EB09F5" w:rsidRPr="004B063A" w:rsidRDefault="00EB09F5" w:rsidP="001E08C6">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lastRenderedPageBreak/>
              <w:t>- signing a pledge agreement as a pledgee;</w:t>
            </w:r>
          </w:p>
          <w:p w14:paraId="25825697" w14:textId="2833A816" w:rsidR="00EB09F5" w:rsidRPr="00D4217C" w:rsidRDefault="00EB09F5" w:rsidP="00D4217C">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signing a sales contract</w:t>
            </w:r>
          </w:p>
        </w:tc>
        <w:tc>
          <w:tcPr>
            <w:tcW w:w="2268" w:type="dxa"/>
            <w:tcBorders>
              <w:top w:val="single" w:sz="4" w:space="0" w:color="auto"/>
              <w:left w:val="single" w:sz="4" w:space="0" w:color="auto"/>
              <w:bottom w:val="single" w:sz="4" w:space="0" w:color="auto"/>
              <w:right w:val="single" w:sz="4" w:space="0" w:color="auto"/>
            </w:tcBorders>
          </w:tcPr>
          <w:p w14:paraId="144092EF" w14:textId="77777777" w:rsidR="00EB09F5" w:rsidRPr="00D4217C" w:rsidRDefault="00EB09F5" w:rsidP="00D4217C">
            <w:pPr>
              <w:spacing w:after="60"/>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12E81BD" w14:textId="77777777" w:rsidR="00EB09F5" w:rsidRPr="004B063A" w:rsidRDefault="00EB09F5" w:rsidP="00D4217C">
            <w:pPr>
              <w:spacing w:after="60"/>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Clause 6) clause 2 of Art. 43 LLP Law</w:t>
            </w:r>
          </w:p>
        </w:tc>
        <w:tc>
          <w:tcPr>
            <w:tcW w:w="1635" w:type="dxa"/>
            <w:tcBorders>
              <w:top w:val="single" w:sz="4" w:space="0" w:color="auto"/>
              <w:left w:val="single" w:sz="4" w:space="0" w:color="auto"/>
              <w:bottom w:val="single" w:sz="4" w:space="0" w:color="auto"/>
              <w:right w:val="single" w:sz="4" w:space="0" w:color="auto"/>
            </w:tcBorders>
          </w:tcPr>
          <w:p w14:paraId="603400E1" w14:textId="77777777" w:rsidR="00EB09F5" w:rsidRPr="004B063A" w:rsidRDefault="00EB09F5" w:rsidP="00D4217C">
            <w:pPr>
              <w:spacing w:after="60"/>
              <w:jc w:val="both"/>
              <w:rPr>
                <w:rFonts w:ascii="Times New Roman" w:eastAsia="Times New Roman" w:hAnsi="Times New Roman" w:cs="Times New Roman"/>
                <w:sz w:val="20"/>
                <w:szCs w:val="20"/>
                <w:lang w:val="en-US" w:eastAsia="ru-RU"/>
              </w:rPr>
            </w:pPr>
          </w:p>
        </w:tc>
      </w:tr>
      <w:tr w:rsidR="00EB09F5" w:rsidRPr="001C40ED" w14:paraId="3A7CC3B8" w14:textId="77777777" w:rsidTr="001B40A7">
        <w:trPr>
          <w:trHeight w:val="20"/>
        </w:trPr>
        <w:tc>
          <w:tcPr>
            <w:tcW w:w="448" w:type="dxa"/>
          </w:tcPr>
          <w:p w14:paraId="56D7700B" w14:textId="192B469A" w:rsidR="00EB09F5" w:rsidRPr="004B063A" w:rsidRDefault="00EB09F5"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2ED56BFC" w14:textId="37B6FBF4" w:rsidR="00EB09F5" w:rsidRPr="004B063A" w:rsidRDefault="00EB09F5" w:rsidP="009F758C">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Coordination of draft agreements on mortgage of immovable property</w:t>
            </w:r>
          </w:p>
          <w:p w14:paraId="66974E94" w14:textId="01EC8268" w:rsidR="00EB09F5" w:rsidRPr="004B063A" w:rsidRDefault="00EB09F5" w:rsidP="009F758C">
            <w:pPr>
              <w:spacing w:after="0"/>
              <w:jc w:val="both"/>
              <w:rPr>
                <w:rFonts w:ascii="Times New Roman" w:eastAsia="Times New Roman" w:hAnsi="Times New Roman" w:cs="Times New Roman"/>
                <w:sz w:val="20"/>
                <w:szCs w:val="20"/>
                <w:lang w:val="en-US"/>
              </w:rPr>
            </w:pPr>
          </w:p>
        </w:tc>
        <w:tc>
          <w:tcPr>
            <w:tcW w:w="4111" w:type="dxa"/>
          </w:tcPr>
          <w:p w14:paraId="55AE8038" w14:textId="0444EB8F" w:rsidR="00EB09F5" w:rsidRPr="004B063A" w:rsidRDefault="00EB09F5" w:rsidP="009F758C">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Draft Agreement on Pledge of Real Estate</w:t>
            </w:r>
          </w:p>
        </w:tc>
        <w:tc>
          <w:tcPr>
            <w:tcW w:w="2268" w:type="dxa"/>
          </w:tcPr>
          <w:p w14:paraId="2279D93C" w14:textId="77777777" w:rsidR="00EB09F5" w:rsidRPr="004B063A" w:rsidRDefault="00EB09F5" w:rsidP="0041665B">
            <w:pPr>
              <w:spacing w:after="60"/>
              <w:rPr>
                <w:rFonts w:ascii="Times New Roman" w:hAnsi="Times New Roman" w:cs="Times New Roman"/>
                <w:sz w:val="20"/>
                <w:szCs w:val="20"/>
                <w:lang w:val="en-US"/>
              </w:rPr>
            </w:pPr>
          </w:p>
        </w:tc>
        <w:tc>
          <w:tcPr>
            <w:tcW w:w="3260" w:type="dxa"/>
          </w:tcPr>
          <w:p w14:paraId="378F940F" w14:textId="77777777" w:rsidR="00EB09F5" w:rsidRPr="004B063A" w:rsidRDefault="00EB09F5" w:rsidP="009F758C">
            <w:pPr>
              <w:spacing w:after="60"/>
              <w:rPr>
                <w:rFonts w:ascii="Times New Roman" w:eastAsia="Times New Roman" w:hAnsi="Times New Roman" w:cs="Times New Roman"/>
                <w:sz w:val="20"/>
                <w:szCs w:val="20"/>
                <w:lang w:val="en-US"/>
              </w:rPr>
            </w:pPr>
          </w:p>
        </w:tc>
        <w:tc>
          <w:tcPr>
            <w:tcW w:w="1635" w:type="dxa"/>
          </w:tcPr>
          <w:p w14:paraId="1A2FE54F" w14:textId="7F8A21F6" w:rsidR="00EB09F5" w:rsidRPr="004B063A" w:rsidRDefault="00EB09F5" w:rsidP="00DE1485">
            <w:pPr>
              <w:spacing w:after="60"/>
              <w:jc w:val="both"/>
              <w:rPr>
                <w:rFonts w:ascii="Times New Roman" w:eastAsia="Times New Roman" w:hAnsi="Times New Roman" w:cs="Times New Roman"/>
                <w:sz w:val="20"/>
                <w:szCs w:val="20"/>
                <w:lang w:val="en-US" w:eastAsia="ru-RU"/>
              </w:rPr>
            </w:pPr>
          </w:p>
        </w:tc>
      </w:tr>
      <w:tr w:rsidR="00D20A33" w:rsidRPr="001C40ED" w14:paraId="181A6516" w14:textId="77777777" w:rsidTr="00151A3B">
        <w:trPr>
          <w:trHeight w:val="20"/>
        </w:trPr>
        <w:tc>
          <w:tcPr>
            <w:tcW w:w="448" w:type="dxa"/>
          </w:tcPr>
          <w:p w14:paraId="6E65E47F" w14:textId="3F43CBB3" w:rsidR="00D20A33" w:rsidRPr="008C7C1C" w:rsidRDefault="00D20A33" w:rsidP="0041665B">
            <w:pPr>
              <w:numPr>
                <w:ilvl w:val="0"/>
                <w:numId w:val="1"/>
              </w:numPr>
              <w:tabs>
                <w:tab w:val="num" w:pos="0"/>
              </w:tabs>
              <w:spacing w:after="6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7</w:t>
            </w:r>
          </w:p>
        </w:tc>
        <w:tc>
          <w:tcPr>
            <w:tcW w:w="3598" w:type="dxa"/>
          </w:tcPr>
          <w:p w14:paraId="26BFBABA" w14:textId="246B48CA" w:rsidR="00D20A33" w:rsidRPr="004B063A" w:rsidRDefault="00D20A33" w:rsidP="009F758C">
            <w:pPr>
              <w:spacing w:after="60"/>
              <w:jc w:val="both"/>
              <w:rPr>
                <w:rFonts w:ascii="Times New Roman" w:eastAsia="Times New Roman" w:hAnsi="Times New Roman" w:cs="Times New Roman"/>
                <w:sz w:val="20"/>
                <w:szCs w:val="20"/>
                <w:lang w:val="en-US"/>
              </w:rPr>
            </w:pPr>
            <w:r w:rsidRPr="004B063A">
              <w:rPr>
                <w:rFonts w:ascii="Times New Roman" w:hAnsi="Times New Roman" w:cs="Times New Roman"/>
                <w:sz w:val="20"/>
                <w:szCs w:val="20"/>
                <w:lang w:val="en-US"/>
              </w:rPr>
              <w:t>Verification of compliance with all conditions preceding the signing of an agreement on mortgage of real estate</w:t>
            </w:r>
          </w:p>
          <w:p w14:paraId="38525D99" w14:textId="08F7D554" w:rsidR="00D20A33" w:rsidRDefault="00D20A33" w:rsidP="009F758C">
            <w:pPr>
              <w:spacing w:after="0"/>
              <w:jc w:val="both"/>
              <w:rPr>
                <w:rFonts w:ascii="Times New Roman" w:eastAsia="Times New Roman" w:hAnsi="Times New Roman" w:cs="Times New Roman"/>
                <w:sz w:val="20"/>
                <w:szCs w:val="20"/>
              </w:rPr>
            </w:pPr>
            <w:r w:rsidRPr="00097DC9">
              <w:rPr>
                <w:rFonts w:ascii="Times New Roman" w:hAnsi="Times New Roman" w:cs="Times New Roman"/>
                <w:sz w:val="20"/>
                <w:szCs w:val="20"/>
              </w:rPr>
              <w:t>Fulfillment of all preconditions</w:t>
            </w:r>
          </w:p>
        </w:tc>
        <w:tc>
          <w:tcPr>
            <w:tcW w:w="4111" w:type="dxa"/>
          </w:tcPr>
          <w:p w14:paraId="1EC812BA" w14:textId="77777777" w:rsidR="00D20A33" w:rsidRPr="004B063A" w:rsidRDefault="00D20A33" w:rsidP="002E7646">
            <w:pPr>
              <w:pStyle w:val="a0"/>
              <w:numPr>
                <w:ilvl w:val="0"/>
                <w:numId w:val="19"/>
              </w:numPr>
              <w:tabs>
                <w:tab w:val="left" w:pos="347"/>
              </w:tabs>
              <w:spacing w:after="0" w:line="240" w:lineRule="auto"/>
              <w:ind w:left="0" w:firstLine="0"/>
              <w:rPr>
                <w:rFonts w:ascii="Times New Roman" w:hAnsi="Times New Roman" w:cs="Times New Roman"/>
                <w:sz w:val="20"/>
                <w:szCs w:val="20"/>
                <w:lang w:val="en-US"/>
              </w:rPr>
            </w:pPr>
            <w:r w:rsidRPr="004B063A">
              <w:rPr>
                <w:rFonts w:ascii="Times New Roman" w:hAnsi="Times New Roman" w:cs="Times New Roman"/>
                <w:sz w:val="20"/>
                <w:szCs w:val="20"/>
                <w:lang w:val="en-US"/>
              </w:rPr>
              <w:t>Documents confirming the powers of the parties (copy of the Charter, original power of attorney, copy of the GMS Protocol)</w:t>
            </w:r>
          </w:p>
          <w:p w14:paraId="4ADD82DC" w14:textId="7C8335EB" w:rsidR="00D20A33" w:rsidRPr="004B063A" w:rsidRDefault="00D20A33" w:rsidP="009F758C">
            <w:pPr>
              <w:spacing w:after="60"/>
              <w:jc w:val="both"/>
              <w:rPr>
                <w:rFonts w:ascii="Times New Roman" w:eastAsia="Times New Roman" w:hAnsi="Times New Roman" w:cs="Times New Roman"/>
                <w:sz w:val="20"/>
                <w:szCs w:val="20"/>
                <w:lang w:val="en-US"/>
              </w:rPr>
            </w:pPr>
            <w:r w:rsidRPr="004B063A">
              <w:rPr>
                <w:rFonts w:ascii="Times New Roman" w:hAnsi="Times New Roman" w:cs="Times New Roman"/>
                <w:sz w:val="20"/>
                <w:szCs w:val="20"/>
                <w:lang w:val="en-US"/>
              </w:rPr>
              <w:t>Documents confirming compliance with corporate procedures in connection with the mortgage (copy of the charter)</w:t>
            </w:r>
          </w:p>
        </w:tc>
        <w:tc>
          <w:tcPr>
            <w:tcW w:w="2268" w:type="dxa"/>
          </w:tcPr>
          <w:p w14:paraId="2EF20851" w14:textId="77777777" w:rsidR="00D20A33" w:rsidRPr="004B063A" w:rsidRDefault="00D20A33" w:rsidP="0041665B">
            <w:pPr>
              <w:spacing w:after="60"/>
              <w:rPr>
                <w:rFonts w:ascii="Times New Roman" w:hAnsi="Times New Roman" w:cs="Times New Roman"/>
                <w:sz w:val="20"/>
                <w:szCs w:val="20"/>
                <w:lang w:val="en-US"/>
              </w:rPr>
            </w:pPr>
          </w:p>
        </w:tc>
        <w:tc>
          <w:tcPr>
            <w:tcW w:w="3260" w:type="dxa"/>
          </w:tcPr>
          <w:p w14:paraId="1635CF77" w14:textId="6447E0DE" w:rsidR="00D20A33" w:rsidRPr="004B063A" w:rsidRDefault="00D20A33" w:rsidP="009F758C">
            <w:pPr>
              <w:spacing w:after="60"/>
              <w:rPr>
                <w:rFonts w:ascii="Times New Roman" w:eastAsia="Times New Roman" w:hAnsi="Times New Roman" w:cs="Times New Roman"/>
                <w:sz w:val="20"/>
                <w:szCs w:val="20"/>
                <w:lang w:val="en-US"/>
              </w:rPr>
            </w:pPr>
          </w:p>
        </w:tc>
        <w:tc>
          <w:tcPr>
            <w:tcW w:w="1635" w:type="dxa"/>
          </w:tcPr>
          <w:p w14:paraId="2964B903" w14:textId="3EE302E2" w:rsidR="00D20A33" w:rsidRPr="004B063A" w:rsidRDefault="00D20A33" w:rsidP="00DE1485">
            <w:pPr>
              <w:spacing w:after="60"/>
              <w:jc w:val="both"/>
              <w:rPr>
                <w:rFonts w:ascii="Times New Roman" w:eastAsia="Times New Roman" w:hAnsi="Times New Roman" w:cs="Times New Roman"/>
                <w:sz w:val="20"/>
                <w:szCs w:val="20"/>
                <w:lang w:val="en-US" w:eastAsia="ru-RU"/>
              </w:rPr>
            </w:pPr>
          </w:p>
        </w:tc>
      </w:tr>
      <w:tr w:rsidR="00D20A33" w:rsidRPr="001C40ED" w14:paraId="670B2BDF" w14:textId="77777777" w:rsidTr="004A18E6">
        <w:trPr>
          <w:trHeight w:val="20"/>
        </w:trPr>
        <w:tc>
          <w:tcPr>
            <w:tcW w:w="448" w:type="dxa"/>
          </w:tcPr>
          <w:p w14:paraId="3E086560" w14:textId="77777777" w:rsidR="00D20A33" w:rsidRPr="004B063A" w:rsidRDefault="00D20A33"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6D497017" w14:textId="355E1FB6" w:rsidR="00D20A33" w:rsidRPr="004B063A" w:rsidRDefault="00D20A33" w:rsidP="0041665B">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 Signing of an Agreement on mortgage of immovable property with notarization</w:t>
            </w:r>
          </w:p>
          <w:p w14:paraId="40E0F9DE" w14:textId="71816A2D" w:rsidR="00D20A33" w:rsidRPr="004B063A" w:rsidRDefault="00D20A33" w:rsidP="006A4625">
            <w:pPr>
              <w:spacing w:after="0"/>
              <w:jc w:val="both"/>
              <w:rPr>
                <w:rFonts w:ascii="Times New Roman" w:eastAsia="Times New Roman" w:hAnsi="Times New Roman" w:cs="Times New Roman"/>
                <w:sz w:val="20"/>
                <w:szCs w:val="20"/>
                <w:lang w:val="en-US"/>
              </w:rPr>
            </w:pPr>
          </w:p>
        </w:tc>
        <w:tc>
          <w:tcPr>
            <w:tcW w:w="4111" w:type="dxa"/>
          </w:tcPr>
          <w:p w14:paraId="11DE9CDB" w14:textId="0CD32295" w:rsidR="00D20A33" w:rsidRPr="00DA25E6" w:rsidRDefault="00D20A33" w:rsidP="002E7646">
            <w:pPr>
              <w:spacing w:after="60"/>
              <w:jc w:val="both"/>
              <w:rPr>
                <w:rFonts w:ascii="Times New Roman" w:eastAsia="Times New Roman" w:hAnsi="Times New Roman" w:cs="Times New Roman"/>
                <w:sz w:val="20"/>
                <w:szCs w:val="20"/>
              </w:rPr>
            </w:pPr>
            <w:r w:rsidRPr="002E7646">
              <w:rPr>
                <w:rFonts w:ascii="Times New Roman" w:eastAsia="Times New Roman" w:hAnsi="Times New Roman" w:cs="Times New Roman"/>
                <w:sz w:val="20"/>
                <w:szCs w:val="20"/>
              </w:rPr>
              <w:t>Real estate pledge agreement</w:t>
            </w:r>
          </w:p>
        </w:tc>
        <w:tc>
          <w:tcPr>
            <w:tcW w:w="2268" w:type="dxa"/>
          </w:tcPr>
          <w:p w14:paraId="243443EB" w14:textId="77777777" w:rsidR="00D20A33" w:rsidRPr="008C7C1C" w:rsidRDefault="00D20A33" w:rsidP="0041665B">
            <w:pPr>
              <w:spacing w:after="60"/>
              <w:rPr>
                <w:rFonts w:ascii="Times New Roman" w:hAnsi="Times New Roman" w:cs="Times New Roman"/>
                <w:sz w:val="20"/>
                <w:szCs w:val="20"/>
              </w:rPr>
            </w:pPr>
          </w:p>
        </w:tc>
        <w:tc>
          <w:tcPr>
            <w:tcW w:w="3260" w:type="dxa"/>
          </w:tcPr>
          <w:p w14:paraId="2E1A3C98" w14:textId="0138CCCC" w:rsidR="00D20A33" w:rsidRPr="004B063A" w:rsidRDefault="00D20A33" w:rsidP="002E7646">
            <w:pPr>
              <w:spacing w:after="60"/>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Regarding the collateral.</w:t>
            </w:r>
          </w:p>
          <w:p w14:paraId="4D2E0F40" w14:textId="586C483B" w:rsidR="00D20A33" w:rsidRPr="004B063A" w:rsidRDefault="00D20A33" w:rsidP="002E7646">
            <w:pPr>
              <w:spacing w:after="60"/>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Despite the fact that the notarization of the pledge agreement is carried out at the request of the parties,</w:t>
            </w:r>
          </w:p>
          <w:p w14:paraId="041E575B" w14:textId="7B0BE43C" w:rsidR="00D20A33" w:rsidRPr="004B063A" w:rsidRDefault="00D20A33" w:rsidP="002E7646">
            <w:pPr>
              <w:spacing w:after="60"/>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at the same time, according to clause 4 of article 21 of the Law on state registration of rights to real estate, if the transaction is not notarized, then the registering body is obliged to verify the authenticity of the signatures of the persons who made the transaction</w:t>
            </w:r>
          </w:p>
        </w:tc>
        <w:tc>
          <w:tcPr>
            <w:tcW w:w="1635" w:type="dxa"/>
          </w:tcPr>
          <w:p w14:paraId="1B09EE64" w14:textId="1AE266B4" w:rsidR="00D20A33" w:rsidRPr="004B063A" w:rsidRDefault="00D20A33" w:rsidP="00DE1485">
            <w:pPr>
              <w:spacing w:after="60"/>
              <w:jc w:val="both"/>
              <w:rPr>
                <w:rFonts w:ascii="Times New Roman" w:eastAsia="Times New Roman" w:hAnsi="Times New Roman" w:cs="Times New Roman"/>
                <w:sz w:val="20"/>
                <w:szCs w:val="20"/>
                <w:lang w:val="en-US" w:eastAsia="ru-RU"/>
              </w:rPr>
            </w:pPr>
          </w:p>
        </w:tc>
      </w:tr>
      <w:tr w:rsidR="00D20A33" w:rsidRPr="008C7C1C" w14:paraId="5439E8EB" w14:textId="77777777" w:rsidTr="00DF7406">
        <w:trPr>
          <w:trHeight w:val="20"/>
        </w:trPr>
        <w:tc>
          <w:tcPr>
            <w:tcW w:w="448" w:type="dxa"/>
          </w:tcPr>
          <w:p w14:paraId="2E108D1E" w14:textId="77777777" w:rsidR="00D20A33" w:rsidRPr="004B063A" w:rsidRDefault="00D20A33"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2992DB2A" w14:textId="77777777" w:rsidR="00D20A33" w:rsidRPr="004B063A" w:rsidRDefault="00D20A33" w:rsidP="00C134F5">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State registration of real estate pledge </w:t>
            </w:r>
          </w:p>
          <w:p w14:paraId="479A29F6" w14:textId="5C685507" w:rsidR="00D20A33" w:rsidRPr="004B063A" w:rsidRDefault="00D20A33" w:rsidP="006A4625">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State registration is carried out by:</w:t>
            </w:r>
          </w:p>
          <w:p w14:paraId="0048A534" w14:textId="77777777" w:rsidR="00D20A33" w:rsidRPr="004B063A" w:rsidRDefault="00D20A33" w:rsidP="006A4625">
            <w:pPr>
              <w:spacing w:after="0"/>
              <w:jc w:val="both"/>
              <w:rPr>
                <w:rFonts w:ascii="Times New Roman" w:eastAsia="Times New Roman" w:hAnsi="Times New Roman" w:cs="Times New Roman"/>
                <w:sz w:val="20"/>
                <w:szCs w:val="20"/>
                <w:lang w:val="en-US"/>
              </w:rPr>
            </w:pPr>
          </w:p>
          <w:p w14:paraId="7DF65F67" w14:textId="77777777" w:rsidR="00D20A33" w:rsidRPr="004B063A" w:rsidRDefault="00D20A33" w:rsidP="006A4625">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NJSC "State Corporation" Government for Citizens "(PSC - work);</w:t>
            </w:r>
          </w:p>
          <w:p w14:paraId="6FB6F65E" w14:textId="77777777" w:rsidR="00D20A33" w:rsidRPr="004B063A" w:rsidRDefault="00D20A33" w:rsidP="006A4625">
            <w:pPr>
              <w:spacing w:after="0"/>
              <w:jc w:val="both"/>
              <w:rPr>
                <w:rFonts w:ascii="Times New Roman" w:eastAsia="Times New Roman" w:hAnsi="Times New Roman" w:cs="Times New Roman"/>
                <w:sz w:val="20"/>
                <w:szCs w:val="20"/>
                <w:lang w:val="en-US"/>
              </w:rPr>
            </w:pPr>
          </w:p>
          <w:p w14:paraId="5916576D" w14:textId="77777777" w:rsidR="00D20A33" w:rsidRPr="004B063A" w:rsidRDefault="00D20A33" w:rsidP="006A4625">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 web portal of "electronic government": </w:t>
            </w:r>
            <w:r w:rsidRPr="004B063A">
              <w:rPr>
                <w:rFonts w:ascii="Times New Roman" w:eastAsia="Times New Roman" w:hAnsi="Times New Roman" w:cs="Times New Roman"/>
                <w:sz w:val="20"/>
                <w:szCs w:val="20"/>
                <w:lang w:val="en-US"/>
              </w:rPr>
              <w:lastRenderedPageBreak/>
              <w:t>www.egov.kz.</w:t>
            </w:r>
          </w:p>
          <w:p w14:paraId="4924E45D" w14:textId="77777777" w:rsidR="00D20A33" w:rsidRPr="004B063A" w:rsidRDefault="00D20A33" w:rsidP="006A4625">
            <w:pPr>
              <w:spacing w:after="0"/>
              <w:jc w:val="both"/>
              <w:rPr>
                <w:rFonts w:ascii="Times New Roman" w:eastAsia="Times New Roman" w:hAnsi="Times New Roman" w:cs="Times New Roman"/>
                <w:sz w:val="20"/>
                <w:szCs w:val="20"/>
                <w:lang w:val="en-US"/>
              </w:rPr>
            </w:pPr>
          </w:p>
          <w:p w14:paraId="27598F9D" w14:textId="77777777" w:rsidR="00D20A33" w:rsidRPr="004B063A" w:rsidRDefault="00D20A33" w:rsidP="006A4625">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or</w:t>
            </w:r>
          </w:p>
          <w:p w14:paraId="31E74CFB" w14:textId="77777777" w:rsidR="00D20A33" w:rsidRPr="004B063A" w:rsidRDefault="00D20A33" w:rsidP="006A4625">
            <w:pPr>
              <w:spacing w:after="0"/>
              <w:jc w:val="both"/>
              <w:rPr>
                <w:rFonts w:ascii="Times New Roman" w:eastAsia="Times New Roman" w:hAnsi="Times New Roman" w:cs="Times New Roman"/>
                <w:sz w:val="20"/>
                <w:szCs w:val="20"/>
                <w:lang w:val="en-US"/>
              </w:rPr>
            </w:pPr>
          </w:p>
          <w:p w14:paraId="118115F3" w14:textId="77777777" w:rsidR="00D20A33" w:rsidRPr="004B063A" w:rsidRDefault="00D20A33" w:rsidP="006A4625">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a unified notarial information system (hereinafter - ENIS).</w:t>
            </w:r>
          </w:p>
          <w:p w14:paraId="16819528" w14:textId="77777777" w:rsidR="00D20A33" w:rsidRPr="004B063A" w:rsidRDefault="00D20A33" w:rsidP="006A4625">
            <w:pPr>
              <w:spacing w:after="0"/>
              <w:jc w:val="both"/>
              <w:rPr>
                <w:rFonts w:ascii="Times New Roman" w:eastAsia="Times New Roman" w:hAnsi="Times New Roman" w:cs="Times New Roman"/>
                <w:sz w:val="20"/>
                <w:szCs w:val="20"/>
                <w:lang w:val="en-US"/>
              </w:rPr>
            </w:pPr>
          </w:p>
        </w:tc>
        <w:tc>
          <w:tcPr>
            <w:tcW w:w="4111" w:type="dxa"/>
          </w:tcPr>
          <w:p w14:paraId="333E8BE0" w14:textId="77777777" w:rsidR="00D20A33" w:rsidRPr="004B063A" w:rsidRDefault="00D20A33" w:rsidP="00A77533">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lastRenderedPageBreak/>
              <w:t>1) a document of title with a note on the performed state registration of rights (encumbrances) to immovable property;</w:t>
            </w:r>
          </w:p>
          <w:p w14:paraId="0188EF03" w14:textId="77777777" w:rsidR="00D20A33" w:rsidRPr="004B063A" w:rsidRDefault="00D20A33" w:rsidP="00A77533">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2) a certificate of state registration in the cases provided for by the legislative acts of the Republic of Kazakhstan.</w:t>
            </w:r>
          </w:p>
          <w:p w14:paraId="473DDF44" w14:textId="65B46864" w:rsidR="00D20A33" w:rsidRPr="004B063A" w:rsidRDefault="00D20A33" w:rsidP="00A77533">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lastRenderedPageBreak/>
              <w:t>When contacting through the portal / ENIS:</w:t>
            </w:r>
          </w:p>
          <w:p w14:paraId="0443EF8F" w14:textId="469FD100" w:rsidR="00D20A33" w:rsidRPr="004B063A" w:rsidRDefault="00D20A33" w:rsidP="00A77533">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1) notification of the performed registration of state registration.</w:t>
            </w:r>
          </w:p>
        </w:tc>
        <w:tc>
          <w:tcPr>
            <w:tcW w:w="2268" w:type="dxa"/>
          </w:tcPr>
          <w:p w14:paraId="3D49F420" w14:textId="68D38E48" w:rsidR="00D20A33" w:rsidRPr="008C7C1C" w:rsidRDefault="00D20A33" w:rsidP="0041665B">
            <w:pPr>
              <w:spacing w:after="60"/>
              <w:rPr>
                <w:rFonts w:ascii="Times New Roman" w:hAnsi="Times New Roman" w:cs="Times New Roman"/>
                <w:sz w:val="20"/>
                <w:szCs w:val="20"/>
              </w:rPr>
            </w:pPr>
            <w:r>
              <w:rPr>
                <w:rFonts w:ascii="Times New Roman" w:hAnsi="Times New Roman" w:cs="Times New Roman"/>
                <w:sz w:val="20"/>
                <w:szCs w:val="20"/>
              </w:rPr>
              <w:lastRenderedPageBreak/>
              <w:t>3 working days</w:t>
            </w:r>
          </w:p>
        </w:tc>
        <w:tc>
          <w:tcPr>
            <w:tcW w:w="3260" w:type="dxa"/>
          </w:tcPr>
          <w:p w14:paraId="59274BC9" w14:textId="77777777" w:rsidR="00D20A33" w:rsidRDefault="00D20A33" w:rsidP="002E7646">
            <w:pPr>
              <w:spacing w:after="60"/>
              <w:rPr>
                <w:rFonts w:ascii="Times New Roman" w:eastAsia="Times New Roman" w:hAnsi="Times New Roman" w:cs="Times New Roman"/>
                <w:sz w:val="20"/>
                <w:szCs w:val="20"/>
              </w:rPr>
            </w:pPr>
          </w:p>
        </w:tc>
        <w:tc>
          <w:tcPr>
            <w:tcW w:w="1635" w:type="dxa"/>
          </w:tcPr>
          <w:p w14:paraId="539347E4" w14:textId="77777777" w:rsidR="00D20A33" w:rsidRPr="008C7C1C" w:rsidRDefault="00D20A33" w:rsidP="00DE1485">
            <w:pPr>
              <w:spacing w:after="60"/>
              <w:jc w:val="both"/>
              <w:rPr>
                <w:rFonts w:ascii="Times New Roman" w:eastAsia="Times New Roman" w:hAnsi="Times New Roman" w:cs="Times New Roman"/>
                <w:sz w:val="20"/>
                <w:szCs w:val="20"/>
                <w:lang w:eastAsia="ru-RU"/>
              </w:rPr>
            </w:pPr>
          </w:p>
        </w:tc>
      </w:tr>
      <w:tr w:rsidR="00D20A33" w:rsidRPr="001C40ED" w14:paraId="243175A9" w14:textId="77777777" w:rsidTr="0048427F">
        <w:trPr>
          <w:trHeight w:val="20"/>
        </w:trPr>
        <w:tc>
          <w:tcPr>
            <w:tcW w:w="448" w:type="dxa"/>
          </w:tcPr>
          <w:p w14:paraId="51549A26" w14:textId="71ECFD10" w:rsidR="00D20A33" w:rsidRPr="008C7C1C" w:rsidRDefault="00D20A33" w:rsidP="0041665B">
            <w:pPr>
              <w:numPr>
                <w:ilvl w:val="0"/>
                <w:numId w:val="1"/>
              </w:numPr>
              <w:tabs>
                <w:tab w:val="num" w:pos="0"/>
              </w:tabs>
              <w:spacing w:after="6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WITH</w:t>
            </w:r>
          </w:p>
        </w:tc>
        <w:tc>
          <w:tcPr>
            <w:tcW w:w="3598" w:type="dxa"/>
          </w:tcPr>
          <w:p w14:paraId="56E94606" w14:textId="77777777" w:rsidR="00D20A33" w:rsidRPr="006A4625" w:rsidRDefault="00D20A33" w:rsidP="00C134F5">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Collateral insurance</w:t>
            </w:r>
          </w:p>
          <w:p w14:paraId="6A6C000C" w14:textId="32FDCE7E" w:rsidR="00D20A33" w:rsidRPr="004B063A" w:rsidRDefault="00D20A33" w:rsidP="00DC1283">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The Pledger is obliged to conclude an insurance contract for the Pledged Item and provide it to the Pledgee.</w:t>
            </w:r>
          </w:p>
        </w:tc>
        <w:tc>
          <w:tcPr>
            <w:tcW w:w="4111" w:type="dxa"/>
          </w:tcPr>
          <w:p w14:paraId="4C4AC90A" w14:textId="69169E1A" w:rsidR="00D20A33" w:rsidRPr="00A77533" w:rsidRDefault="00D20A33" w:rsidP="00A77533">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Insurance contract</w:t>
            </w:r>
          </w:p>
        </w:tc>
        <w:tc>
          <w:tcPr>
            <w:tcW w:w="2268" w:type="dxa"/>
          </w:tcPr>
          <w:p w14:paraId="6C0F680F" w14:textId="77777777" w:rsidR="00D20A33" w:rsidRPr="008C7C1C" w:rsidRDefault="00D20A33" w:rsidP="0041665B">
            <w:pPr>
              <w:spacing w:after="60"/>
              <w:rPr>
                <w:rFonts w:ascii="Times New Roman" w:hAnsi="Times New Roman" w:cs="Times New Roman"/>
                <w:sz w:val="20"/>
                <w:szCs w:val="20"/>
              </w:rPr>
            </w:pPr>
          </w:p>
        </w:tc>
        <w:tc>
          <w:tcPr>
            <w:tcW w:w="3260" w:type="dxa"/>
          </w:tcPr>
          <w:p w14:paraId="26180914" w14:textId="02A9A2C8" w:rsidR="00D20A33" w:rsidRPr="004B063A" w:rsidRDefault="00D20A33" w:rsidP="002E7646">
            <w:pPr>
              <w:spacing w:after="60"/>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Terms and conditions of the real estate pledge agreement</w:t>
            </w:r>
          </w:p>
        </w:tc>
        <w:tc>
          <w:tcPr>
            <w:tcW w:w="1635" w:type="dxa"/>
          </w:tcPr>
          <w:p w14:paraId="03210109" w14:textId="77777777" w:rsidR="00D20A33" w:rsidRPr="004B063A" w:rsidRDefault="00D20A33" w:rsidP="00DE1485">
            <w:pPr>
              <w:spacing w:after="60"/>
              <w:jc w:val="both"/>
              <w:rPr>
                <w:rFonts w:ascii="Times New Roman" w:eastAsia="Times New Roman" w:hAnsi="Times New Roman" w:cs="Times New Roman"/>
                <w:sz w:val="20"/>
                <w:szCs w:val="20"/>
                <w:lang w:val="en-US" w:eastAsia="ru-RU"/>
              </w:rPr>
            </w:pPr>
          </w:p>
        </w:tc>
      </w:tr>
      <w:tr w:rsidR="00C20418" w:rsidRPr="001C40ED" w14:paraId="7B99BD9C" w14:textId="77777777" w:rsidTr="00265536">
        <w:trPr>
          <w:trHeight w:val="20"/>
        </w:trPr>
        <w:tc>
          <w:tcPr>
            <w:tcW w:w="448" w:type="dxa"/>
          </w:tcPr>
          <w:p w14:paraId="1628A697" w14:textId="77777777" w:rsidR="00C20418" w:rsidRPr="004B063A" w:rsidRDefault="00C20418" w:rsidP="00007363">
            <w:pPr>
              <w:spacing w:after="60" w:line="240" w:lineRule="auto"/>
              <w:jc w:val="both"/>
              <w:rPr>
                <w:rFonts w:ascii="Times New Roman" w:hAnsi="Times New Roman" w:cs="Times New Roman"/>
                <w:sz w:val="20"/>
                <w:szCs w:val="20"/>
                <w:lang w:val="en-US"/>
              </w:rPr>
            </w:pPr>
          </w:p>
        </w:tc>
        <w:tc>
          <w:tcPr>
            <w:tcW w:w="14872" w:type="dxa"/>
            <w:gridSpan w:val="5"/>
          </w:tcPr>
          <w:p w14:paraId="308BBB35" w14:textId="694A87D5" w:rsidR="00C20418" w:rsidRPr="004B063A" w:rsidRDefault="00F473A2" w:rsidP="00CB5772">
            <w:pPr>
              <w:pStyle w:val="1"/>
              <w:rPr>
                <w:sz w:val="20"/>
                <w:szCs w:val="20"/>
                <w:lang w:val="en-US"/>
              </w:rPr>
            </w:pPr>
            <w:bookmarkStart w:id="2" w:name="_Toc57732141"/>
            <w:r w:rsidRPr="004B063A">
              <w:rPr>
                <w:sz w:val="20"/>
                <w:szCs w:val="20"/>
                <w:lang w:val="en-US"/>
              </w:rPr>
              <w:t>Full Legal Due Diligence of the LLP - Seller</w:t>
            </w:r>
            <w:bookmarkEnd w:id="2"/>
          </w:p>
        </w:tc>
      </w:tr>
      <w:tr w:rsidR="006C35D3" w:rsidRPr="001C40ED" w14:paraId="7F4B8B35" w14:textId="77777777" w:rsidTr="002915E1">
        <w:trPr>
          <w:trHeight w:val="20"/>
        </w:trPr>
        <w:tc>
          <w:tcPr>
            <w:tcW w:w="448" w:type="dxa"/>
          </w:tcPr>
          <w:p w14:paraId="540C1650" w14:textId="77777777" w:rsidR="006C35D3" w:rsidRPr="004B063A" w:rsidRDefault="006C35D3"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28BE0FDD" w14:textId="77777777" w:rsidR="006C35D3" w:rsidRPr="004B063A" w:rsidRDefault="006C35D3" w:rsidP="00C20418">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Full Legal Due Diligence</w:t>
            </w:r>
          </w:p>
          <w:p w14:paraId="765E3777" w14:textId="0111F3AE" w:rsidR="006C35D3" w:rsidRPr="004B063A" w:rsidRDefault="006C35D3"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The main components of research and reporting on the results:</w:t>
            </w:r>
          </w:p>
          <w:p w14:paraId="1782D887" w14:textId="77777777" w:rsidR="006C35D3" w:rsidRPr="004B063A" w:rsidRDefault="006C35D3"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a. real estate objects, other assets,</w:t>
            </w:r>
          </w:p>
          <w:p w14:paraId="11B9761B" w14:textId="77777777" w:rsidR="006C35D3" w:rsidRPr="004B063A" w:rsidRDefault="006C35D3"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b. debts and encumbrances,</w:t>
            </w:r>
          </w:p>
          <w:p w14:paraId="12F4B317" w14:textId="77777777" w:rsidR="006C35D3" w:rsidRPr="004B063A" w:rsidRDefault="006C35D3" w:rsidP="00CE3527">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c. compliance with administrative procedures and requirements;</w:t>
            </w:r>
          </w:p>
          <w:p w14:paraId="5087458F" w14:textId="06035212" w:rsidR="006C35D3" w:rsidRPr="004B063A" w:rsidRDefault="006C35D3" w:rsidP="006C35D3">
            <w:pPr>
              <w:spacing w:after="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d. potential risks that could entail financial losses for the Buyer in connection with joining the LLP participants (labor and social issues, insurance relations, legal claims, financial and other debts and obligations).</w:t>
            </w:r>
          </w:p>
        </w:tc>
        <w:tc>
          <w:tcPr>
            <w:tcW w:w="4111" w:type="dxa"/>
          </w:tcPr>
          <w:p w14:paraId="70844E5F" w14:textId="4D39AF02" w:rsidR="006C35D3" w:rsidRPr="004B063A" w:rsidRDefault="006C35D3" w:rsidP="00732704">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Legal Due Diligence Report (full report and summary report)</w:t>
            </w:r>
          </w:p>
        </w:tc>
        <w:tc>
          <w:tcPr>
            <w:tcW w:w="2268" w:type="dxa"/>
          </w:tcPr>
          <w:p w14:paraId="1EBF8109" w14:textId="77777777" w:rsidR="006C35D3" w:rsidRPr="004B063A" w:rsidRDefault="006C35D3" w:rsidP="0041665B">
            <w:pPr>
              <w:spacing w:after="60"/>
              <w:rPr>
                <w:rFonts w:ascii="Times New Roman" w:hAnsi="Times New Roman" w:cs="Times New Roman"/>
                <w:sz w:val="20"/>
                <w:szCs w:val="20"/>
                <w:lang w:val="en-US"/>
              </w:rPr>
            </w:pPr>
          </w:p>
        </w:tc>
        <w:tc>
          <w:tcPr>
            <w:tcW w:w="3260" w:type="dxa"/>
          </w:tcPr>
          <w:p w14:paraId="33C5E6C0" w14:textId="77777777" w:rsidR="006C35D3" w:rsidRPr="004B063A" w:rsidRDefault="006C35D3" w:rsidP="0041665B">
            <w:pPr>
              <w:spacing w:after="60"/>
              <w:rPr>
                <w:rFonts w:ascii="Times New Roman" w:eastAsia="Times New Roman" w:hAnsi="Times New Roman" w:cs="Times New Roman"/>
                <w:sz w:val="20"/>
                <w:szCs w:val="20"/>
                <w:lang w:val="en-US"/>
              </w:rPr>
            </w:pPr>
          </w:p>
        </w:tc>
        <w:tc>
          <w:tcPr>
            <w:tcW w:w="1635" w:type="dxa"/>
          </w:tcPr>
          <w:p w14:paraId="4A321B3B" w14:textId="77777777" w:rsidR="006C35D3" w:rsidRPr="004B063A" w:rsidRDefault="006C35D3" w:rsidP="00DE1485">
            <w:pPr>
              <w:spacing w:after="60"/>
              <w:jc w:val="both"/>
              <w:rPr>
                <w:rFonts w:ascii="Times New Roman" w:eastAsia="Times New Roman" w:hAnsi="Times New Roman" w:cs="Times New Roman"/>
                <w:sz w:val="20"/>
                <w:szCs w:val="20"/>
                <w:lang w:val="en-US" w:eastAsia="ru-RU"/>
              </w:rPr>
            </w:pPr>
          </w:p>
        </w:tc>
      </w:tr>
      <w:tr w:rsidR="006C35D3" w:rsidRPr="008C7C1C" w14:paraId="11E1119A" w14:textId="77777777" w:rsidTr="00DF0B7E">
        <w:trPr>
          <w:trHeight w:val="20"/>
        </w:trPr>
        <w:tc>
          <w:tcPr>
            <w:tcW w:w="448" w:type="dxa"/>
          </w:tcPr>
          <w:p w14:paraId="10287C39" w14:textId="77777777" w:rsidR="006C35D3" w:rsidRPr="004B063A" w:rsidRDefault="006C35D3"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32152A93" w14:textId="0E158BA5" w:rsidR="006C35D3" w:rsidRPr="008C7C1C" w:rsidRDefault="006C35D3" w:rsidP="0041665B">
            <w:pPr>
              <w:spacing w:after="60"/>
              <w:jc w:val="both"/>
              <w:rPr>
                <w:rFonts w:ascii="Times New Roman" w:eastAsia="Times New Roman" w:hAnsi="Times New Roman" w:cs="Times New Roman"/>
                <w:sz w:val="20"/>
                <w:szCs w:val="20"/>
              </w:rPr>
            </w:pPr>
            <w:r w:rsidRPr="008C7C1C">
              <w:rPr>
                <w:rFonts w:ascii="Times New Roman" w:eastAsia="Times New Roman" w:hAnsi="Times New Roman" w:cs="Times New Roman"/>
                <w:sz w:val="20"/>
                <w:szCs w:val="20"/>
              </w:rPr>
              <w:t>Financial Due Diligence</w:t>
            </w:r>
          </w:p>
        </w:tc>
        <w:tc>
          <w:tcPr>
            <w:tcW w:w="4111" w:type="dxa"/>
          </w:tcPr>
          <w:p w14:paraId="710F05DE" w14:textId="0DD2673E" w:rsidR="006C35D3" w:rsidRPr="008C7C1C" w:rsidRDefault="006C35D3" w:rsidP="00DE1485">
            <w:pPr>
              <w:spacing w:after="60"/>
              <w:jc w:val="both"/>
              <w:rPr>
                <w:rFonts w:ascii="Times New Roman" w:eastAsia="Times New Roman" w:hAnsi="Times New Roman" w:cs="Times New Roman"/>
                <w:sz w:val="20"/>
                <w:szCs w:val="20"/>
              </w:rPr>
            </w:pPr>
            <w:r w:rsidRPr="008C7C1C">
              <w:rPr>
                <w:rFonts w:ascii="Times New Roman" w:eastAsia="Times New Roman" w:hAnsi="Times New Roman" w:cs="Times New Roman"/>
                <w:sz w:val="20"/>
                <w:szCs w:val="20"/>
              </w:rPr>
              <w:t>Financial block report</w:t>
            </w:r>
          </w:p>
        </w:tc>
        <w:tc>
          <w:tcPr>
            <w:tcW w:w="2268" w:type="dxa"/>
          </w:tcPr>
          <w:p w14:paraId="686105E4" w14:textId="77777777" w:rsidR="006C35D3" w:rsidRPr="008C7C1C" w:rsidRDefault="006C35D3" w:rsidP="0041665B">
            <w:pPr>
              <w:spacing w:after="60"/>
              <w:rPr>
                <w:rFonts w:ascii="Times New Roman" w:hAnsi="Times New Roman" w:cs="Times New Roman"/>
                <w:sz w:val="20"/>
                <w:szCs w:val="20"/>
              </w:rPr>
            </w:pPr>
          </w:p>
        </w:tc>
        <w:tc>
          <w:tcPr>
            <w:tcW w:w="3260" w:type="dxa"/>
          </w:tcPr>
          <w:p w14:paraId="6D2BD990" w14:textId="77777777" w:rsidR="006C35D3" w:rsidRPr="008C7C1C" w:rsidRDefault="006C35D3" w:rsidP="00CE3527">
            <w:pPr>
              <w:spacing w:after="60"/>
              <w:rPr>
                <w:rFonts w:ascii="Times New Roman" w:eastAsia="Times New Roman" w:hAnsi="Times New Roman" w:cs="Times New Roman"/>
                <w:sz w:val="20"/>
                <w:szCs w:val="20"/>
              </w:rPr>
            </w:pPr>
          </w:p>
        </w:tc>
        <w:tc>
          <w:tcPr>
            <w:tcW w:w="1635" w:type="dxa"/>
          </w:tcPr>
          <w:p w14:paraId="46464C11" w14:textId="0E52FBB7" w:rsidR="006C35D3" w:rsidRPr="008C7C1C" w:rsidRDefault="006C35D3" w:rsidP="00DE1485">
            <w:pPr>
              <w:spacing w:after="60"/>
              <w:jc w:val="both"/>
              <w:rPr>
                <w:rFonts w:ascii="Times New Roman" w:eastAsia="Times New Roman" w:hAnsi="Times New Roman" w:cs="Times New Roman"/>
                <w:sz w:val="20"/>
                <w:szCs w:val="20"/>
                <w:lang w:eastAsia="ru-RU"/>
              </w:rPr>
            </w:pPr>
          </w:p>
        </w:tc>
      </w:tr>
      <w:tr w:rsidR="006C35D3" w:rsidRPr="008C7C1C" w14:paraId="5C16AE71" w14:textId="77777777" w:rsidTr="00857E2F">
        <w:trPr>
          <w:trHeight w:val="20"/>
        </w:trPr>
        <w:tc>
          <w:tcPr>
            <w:tcW w:w="448" w:type="dxa"/>
          </w:tcPr>
          <w:p w14:paraId="026D0A3B" w14:textId="77777777" w:rsidR="006C35D3" w:rsidRPr="008C7C1C" w:rsidRDefault="006C35D3" w:rsidP="0041665B">
            <w:pPr>
              <w:numPr>
                <w:ilvl w:val="0"/>
                <w:numId w:val="1"/>
              </w:numPr>
              <w:tabs>
                <w:tab w:val="num" w:pos="0"/>
              </w:tabs>
              <w:spacing w:after="60" w:line="240" w:lineRule="auto"/>
              <w:ind w:left="0" w:firstLine="0"/>
              <w:jc w:val="both"/>
              <w:rPr>
                <w:rFonts w:ascii="Times New Roman" w:hAnsi="Times New Roman" w:cs="Times New Roman"/>
                <w:sz w:val="20"/>
                <w:szCs w:val="20"/>
              </w:rPr>
            </w:pPr>
          </w:p>
        </w:tc>
        <w:tc>
          <w:tcPr>
            <w:tcW w:w="3598" w:type="dxa"/>
          </w:tcPr>
          <w:p w14:paraId="3CB1B8BF" w14:textId="15812B45" w:rsidR="006C35D3" w:rsidRPr="004B063A" w:rsidRDefault="006C35D3" w:rsidP="0041665B">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Request to the justice authorities, state revenue department, statistics authorities from the seller's side</w:t>
            </w:r>
          </w:p>
          <w:p w14:paraId="00728FDC" w14:textId="33C3F88C" w:rsidR="006C35D3" w:rsidRPr="004B063A" w:rsidRDefault="006C35D3" w:rsidP="00893133">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 xml:space="preserve">A written request to the justice authorities </w:t>
            </w:r>
            <w:r w:rsidRPr="004B063A">
              <w:rPr>
                <w:rFonts w:ascii="Times New Roman" w:eastAsia="Times New Roman" w:hAnsi="Times New Roman" w:cs="Times New Roman"/>
                <w:sz w:val="20"/>
                <w:szCs w:val="20"/>
                <w:lang w:val="en-US"/>
              </w:rPr>
              <w:lastRenderedPageBreak/>
              <w:t>about whether the acquired share in the authorized capital is pledged, under arrest, a written request to the state revenue management and the issuance of a certificate of the absence of a company's debt, as well as when and what reports were submitted, to the statistics authorities of the form statistical reporting (what forms were submitted, deadlines for their delivery and whether all forms were submitted by the former owner of the LLP)</w:t>
            </w:r>
          </w:p>
        </w:tc>
        <w:tc>
          <w:tcPr>
            <w:tcW w:w="4111" w:type="dxa"/>
          </w:tcPr>
          <w:p w14:paraId="25DFCB93" w14:textId="258C843C" w:rsidR="006C35D3" w:rsidRPr="004B063A" w:rsidRDefault="006C35D3" w:rsidP="00732704">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lastRenderedPageBreak/>
              <w:t>1. A written request from the LLP - the seller to the justice authorities.</w:t>
            </w:r>
          </w:p>
          <w:p w14:paraId="15918379" w14:textId="1AB9AAD2" w:rsidR="006C35D3" w:rsidRPr="004B063A" w:rsidRDefault="006C35D3" w:rsidP="00732704">
            <w:pPr>
              <w:spacing w:after="60"/>
              <w:jc w:val="both"/>
              <w:rPr>
                <w:rFonts w:ascii="Times New Roman" w:eastAsia="Times New Roman" w:hAnsi="Times New Roman" w:cs="Times New Roman"/>
                <w:sz w:val="20"/>
                <w:szCs w:val="20"/>
                <w:lang w:val="en-US"/>
              </w:rPr>
            </w:pPr>
            <w:r w:rsidRPr="004B063A">
              <w:rPr>
                <w:rFonts w:ascii="Times New Roman" w:eastAsia="Times New Roman" w:hAnsi="Times New Roman" w:cs="Times New Roman"/>
                <w:sz w:val="20"/>
                <w:szCs w:val="20"/>
                <w:lang w:val="en-US"/>
              </w:rPr>
              <w:t>2.</w:t>
            </w:r>
            <w:r w:rsidRPr="004B063A">
              <w:rPr>
                <w:rFonts w:ascii="Times New Roman" w:eastAsia="Times New Roman" w:hAnsi="Times New Roman" w:cs="Times New Roman"/>
                <w:sz w:val="20"/>
                <w:szCs w:val="20"/>
                <w:lang w:val="en-US"/>
              </w:rPr>
              <w:tab/>
              <w:t>Written request to the State Revenue Department</w:t>
            </w:r>
          </w:p>
          <w:p w14:paraId="0A6D6DDC" w14:textId="5FDAF688" w:rsidR="006C35D3" w:rsidRPr="00732704" w:rsidRDefault="006C35D3" w:rsidP="00732704">
            <w:pPr>
              <w:spacing w:after="60"/>
              <w:jc w:val="both"/>
              <w:rPr>
                <w:rFonts w:ascii="Times New Roman" w:eastAsia="Times New Roman" w:hAnsi="Times New Roman" w:cs="Times New Roman"/>
                <w:sz w:val="20"/>
                <w:szCs w:val="20"/>
              </w:rPr>
            </w:pPr>
            <w:r w:rsidRPr="00732704">
              <w:rPr>
                <w:rFonts w:ascii="Times New Roman" w:eastAsia="Times New Roman" w:hAnsi="Times New Roman" w:cs="Times New Roman"/>
                <w:sz w:val="20"/>
                <w:szCs w:val="20"/>
              </w:rPr>
              <w:lastRenderedPageBreak/>
              <w:t>3.</w:t>
            </w:r>
            <w:r w:rsidRPr="00732704">
              <w:rPr>
                <w:rFonts w:ascii="Times New Roman" w:eastAsia="Times New Roman" w:hAnsi="Times New Roman" w:cs="Times New Roman"/>
                <w:sz w:val="20"/>
                <w:szCs w:val="20"/>
              </w:rPr>
              <w:tab/>
              <w:t>Written request to statistics authorities</w:t>
            </w:r>
          </w:p>
          <w:p w14:paraId="4605A3B8" w14:textId="6E309ABE" w:rsidR="006C35D3" w:rsidRPr="008C7C1C" w:rsidRDefault="006C35D3" w:rsidP="00732704">
            <w:pPr>
              <w:spacing w:after="60"/>
              <w:jc w:val="both"/>
              <w:rPr>
                <w:rFonts w:ascii="Times New Roman" w:eastAsia="Times New Roman" w:hAnsi="Times New Roman" w:cs="Times New Roman"/>
                <w:sz w:val="20"/>
                <w:szCs w:val="20"/>
              </w:rPr>
            </w:pPr>
          </w:p>
        </w:tc>
        <w:tc>
          <w:tcPr>
            <w:tcW w:w="2268" w:type="dxa"/>
          </w:tcPr>
          <w:p w14:paraId="6166978B" w14:textId="77777777" w:rsidR="006C35D3" w:rsidRPr="008C7C1C" w:rsidRDefault="006C35D3" w:rsidP="0041665B">
            <w:pPr>
              <w:spacing w:after="60"/>
              <w:rPr>
                <w:rFonts w:ascii="Times New Roman" w:hAnsi="Times New Roman" w:cs="Times New Roman"/>
                <w:sz w:val="20"/>
                <w:szCs w:val="20"/>
              </w:rPr>
            </w:pPr>
          </w:p>
        </w:tc>
        <w:tc>
          <w:tcPr>
            <w:tcW w:w="3260" w:type="dxa"/>
          </w:tcPr>
          <w:p w14:paraId="37D0A2A9" w14:textId="77777777" w:rsidR="006C35D3" w:rsidRPr="008C7C1C" w:rsidRDefault="006C35D3" w:rsidP="00CE3527">
            <w:pPr>
              <w:spacing w:after="60"/>
              <w:rPr>
                <w:rFonts w:ascii="Times New Roman" w:eastAsia="Times New Roman" w:hAnsi="Times New Roman" w:cs="Times New Roman"/>
                <w:sz w:val="20"/>
                <w:szCs w:val="20"/>
              </w:rPr>
            </w:pPr>
          </w:p>
        </w:tc>
        <w:tc>
          <w:tcPr>
            <w:tcW w:w="1635" w:type="dxa"/>
          </w:tcPr>
          <w:p w14:paraId="59FD0E33" w14:textId="77777777" w:rsidR="006C35D3" w:rsidRPr="008C7C1C" w:rsidRDefault="006C35D3" w:rsidP="00DE1485">
            <w:pPr>
              <w:spacing w:after="60"/>
              <w:jc w:val="both"/>
              <w:rPr>
                <w:rFonts w:ascii="Times New Roman" w:eastAsia="Times New Roman" w:hAnsi="Times New Roman" w:cs="Times New Roman"/>
                <w:sz w:val="20"/>
                <w:szCs w:val="20"/>
              </w:rPr>
            </w:pPr>
          </w:p>
        </w:tc>
      </w:tr>
      <w:tr w:rsidR="000D3129" w:rsidRPr="001C40ED" w14:paraId="3EF262A1" w14:textId="77777777" w:rsidTr="00265536">
        <w:trPr>
          <w:trHeight w:val="20"/>
        </w:trPr>
        <w:tc>
          <w:tcPr>
            <w:tcW w:w="15320" w:type="dxa"/>
            <w:gridSpan w:val="6"/>
          </w:tcPr>
          <w:p w14:paraId="6D2EFED0" w14:textId="09FB9FAA" w:rsidR="000D3129" w:rsidRPr="004B063A" w:rsidRDefault="000D3129" w:rsidP="00CB5772">
            <w:pPr>
              <w:pStyle w:val="1"/>
              <w:rPr>
                <w:sz w:val="20"/>
                <w:szCs w:val="20"/>
                <w:lang w:val="en-US"/>
              </w:rPr>
            </w:pPr>
            <w:bookmarkStart w:id="3" w:name="_Toc57732142"/>
            <w:r w:rsidRPr="004B063A">
              <w:rPr>
                <w:sz w:val="20"/>
                <w:szCs w:val="20"/>
                <w:lang w:val="en-US"/>
              </w:rPr>
              <w:t>Preparation of a draft Sale and Purchase Agreement for 100% of a share in the authorized capital of a LLP</w:t>
            </w:r>
            <w:bookmarkEnd w:id="3"/>
          </w:p>
        </w:tc>
      </w:tr>
      <w:tr w:rsidR="006C35D3" w:rsidRPr="001C40ED" w14:paraId="4928AA2E" w14:textId="77777777" w:rsidTr="00C13427">
        <w:trPr>
          <w:trHeight w:val="20"/>
        </w:trPr>
        <w:tc>
          <w:tcPr>
            <w:tcW w:w="448" w:type="dxa"/>
          </w:tcPr>
          <w:p w14:paraId="51725AB5" w14:textId="77777777" w:rsidR="006C35D3" w:rsidRPr="004B063A" w:rsidRDefault="006C35D3"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6F9CD813" w14:textId="77AA9414" w:rsidR="006C35D3" w:rsidRPr="004B063A" w:rsidRDefault="006C35D3" w:rsidP="006C35D3">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Preparation of a draft Sale and Purchase Agreement for 100% of a share in the authorized capital of a LLP, between the seller and the buyer</w:t>
            </w:r>
          </w:p>
        </w:tc>
        <w:tc>
          <w:tcPr>
            <w:tcW w:w="4111" w:type="dxa"/>
          </w:tcPr>
          <w:p w14:paraId="4C149069" w14:textId="3A96F705" w:rsidR="006C35D3" w:rsidRPr="004B063A" w:rsidRDefault="006C35D3" w:rsidP="002A3A82">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Draft Purchase and Sale Agreement of 100% of the share in the authorized capital of the LLP</w:t>
            </w:r>
          </w:p>
          <w:p w14:paraId="6F1A4051" w14:textId="24266720" w:rsidR="006C35D3" w:rsidRPr="004B063A" w:rsidRDefault="006C35D3" w:rsidP="002A3A82">
            <w:pPr>
              <w:spacing w:after="60"/>
              <w:jc w:val="both"/>
              <w:rPr>
                <w:rFonts w:ascii="Times New Roman" w:hAnsi="Times New Roman" w:cs="Times New Roman"/>
                <w:sz w:val="20"/>
                <w:szCs w:val="20"/>
                <w:lang w:val="en-US"/>
              </w:rPr>
            </w:pPr>
          </w:p>
        </w:tc>
        <w:tc>
          <w:tcPr>
            <w:tcW w:w="2268" w:type="dxa"/>
          </w:tcPr>
          <w:p w14:paraId="5D226786" w14:textId="77777777" w:rsidR="006C35D3" w:rsidRPr="004B063A" w:rsidRDefault="006C35D3" w:rsidP="0041665B">
            <w:pPr>
              <w:spacing w:after="60"/>
              <w:jc w:val="both"/>
              <w:rPr>
                <w:rFonts w:ascii="Times New Roman" w:eastAsia="Times New Roman" w:hAnsi="Times New Roman" w:cs="Times New Roman"/>
                <w:sz w:val="20"/>
                <w:szCs w:val="20"/>
                <w:lang w:val="en-US"/>
              </w:rPr>
            </w:pPr>
          </w:p>
        </w:tc>
        <w:tc>
          <w:tcPr>
            <w:tcW w:w="3260" w:type="dxa"/>
          </w:tcPr>
          <w:p w14:paraId="0BEA6283" w14:textId="59BE4A41" w:rsidR="006C35D3" w:rsidRPr="004B063A" w:rsidRDefault="006C35D3"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Item 2, Art. 59 of the Civil Code of the Republic of Kazakhstan</w:t>
            </w:r>
          </w:p>
        </w:tc>
        <w:tc>
          <w:tcPr>
            <w:tcW w:w="1635" w:type="dxa"/>
          </w:tcPr>
          <w:p w14:paraId="39D20578" w14:textId="77777777" w:rsidR="006C35D3" w:rsidRPr="004B063A" w:rsidRDefault="006C35D3" w:rsidP="0041665B">
            <w:pPr>
              <w:spacing w:after="60"/>
              <w:rPr>
                <w:rFonts w:ascii="Times New Roman" w:hAnsi="Times New Roman" w:cs="Times New Roman"/>
                <w:sz w:val="20"/>
                <w:szCs w:val="20"/>
                <w:lang w:val="en-US"/>
              </w:rPr>
            </w:pPr>
          </w:p>
        </w:tc>
      </w:tr>
      <w:tr w:rsidR="00C20418" w:rsidRPr="001C40ED" w14:paraId="0C63DDE9" w14:textId="77777777" w:rsidTr="00265536">
        <w:trPr>
          <w:trHeight w:val="20"/>
        </w:trPr>
        <w:tc>
          <w:tcPr>
            <w:tcW w:w="448" w:type="dxa"/>
          </w:tcPr>
          <w:p w14:paraId="38157B88" w14:textId="77777777" w:rsidR="00C20418" w:rsidRPr="004B063A" w:rsidRDefault="00C20418" w:rsidP="00C20418">
            <w:pPr>
              <w:spacing w:after="60" w:line="240" w:lineRule="auto"/>
              <w:jc w:val="both"/>
              <w:rPr>
                <w:rFonts w:ascii="Times New Roman" w:hAnsi="Times New Roman" w:cs="Times New Roman"/>
                <w:sz w:val="20"/>
                <w:szCs w:val="20"/>
                <w:lang w:val="en-US"/>
              </w:rPr>
            </w:pPr>
          </w:p>
        </w:tc>
        <w:tc>
          <w:tcPr>
            <w:tcW w:w="14872" w:type="dxa"/>
            <w:gridSpan w:val="5"/>
          </w:tcPr>
          <w:p w14:paraId="2B30DB90" w14:textId="4D010F1F" w:rsidR="00C20418" w:rsidRPr="004B063A" w:rsidRDefault="00E94D55" w:rsidP="00A81755">
            <w:pPr>
              <w:pStyle w:val="1"/>
              <w:rPr>
                <w:sz w:val="20"/>
                <w:szCs w:val="20"/>
                <w:lang w:val="en-US"/>
              </w:rPr>
            </w:pPr>
            <w:r w:rsidRPr="004B063A">
              <w:rPr>
                <w:sz w:val="20"/>
                <w:szCs w:val="20"/>
                <w:lang w:val="en-US"/>
              </w:rPr>
              <w:t>Coordination of the transaction with the Antimonopoly authority</w:t>
            </w:r>
          </w:p>
        </w:tc>
      </w:tr>
      <w:tr w:rsidR="006C35D3" w:rsidRPr="001C40ED" w14:paraId="4F19D4AE" w14:textId="77777777" w:rsidTr="008F65B6">
        <w:trPr>
          <w:trHeight w:val="20"/>
        </w:trPr>
        <w:tc>
          <w:tcPr>
            <w:tcW w:w="448" w:type="dxa"/>
          </w:tcPr>
          <w:p w14:paraId="6E44E8C4" w14:textId="77777777" w:rsidR="006C35D3" w:rsidRPr="004B063A" w:rsidRDefault="006C35D3"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4FFD975B" w14:textId="17ACF68A" w:rsidR="006C35D3" w:rsidRPr="004B063A" w:rsidRDefault="006C35D3" w:rsidP="00DD15AF">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Submission by the LLP (buyer) of an application for consent to economic concentration to the Antimonopoly Authority to obtain preliminary consent to purchase a 100% s</w:t>
            </w:r>
            <w:r w:rsidR="001C40ED">
              <w:rPr>
                <w:rFonts w:ascii="Times New Roman" w:hAnsi="Times New Roman" w:cs="Times New Roman"/>
                <w:sz w:val="20"/>
                <w:szCs w:val="20"/>
                <w:lang w:val="en-US"/>
              </w:rPr>
              <w:t>hare</w:t>
            </w:r>
            <w:r w:rsidRPr="004B063A">
              <w:rPr>
                <w:rFonts w:ascii="Times New Roman" w:hAnsi="Times New Roman" w:cs="Times New Roman"/>
                <w:sz w:val="20"/>
                <w:szCs w:val="20"/>
                <w:lang w:val="en-US"/>
              </w:rPr>
              <w:t xml:space="preserve"> in the LLP, obtaining the consent of the Antimonopoly Authority</w:t>
            </w:r>
          </w:p>
          <w:p w14:paraId="4DBE00CF" w14:textId="56C49E66" w:rsidR="006C35D3" w:rsidRPr="004B063A" w:rsidRDefault="006C35D3"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 xml:space="preserve">to the office of the service provider or through the web portal of "electronic government" </w:t>
            </w:r>
            <w:hyperlink r:id="rId8" w:history="1">
              <w:r w:rsidRPr="004B063A">
                <w:rPr>
                  <w:rStyle w:val="a9"/>
                  <w:rFonts w:ascii="Times New Roman" w:hAnsi="Times New Roman" w:cs="Times New Roman"/>
                  <w:sz w:val="20"/>
                  <w:szCs w:val="20"/>
                  <w:lang w:val="en-US"/>
                </w:rPr>
                <w:t>www.egov.kz</w:t>
              </w:r>
            </w:hyperlink>
            <w:r w:rsidRPr="004B063A">
              <w:rPr>
                <w:rFonts w:ascii="Times New Roman" w:hAnsi="Times New Roman" w:cs="Times New Roman"/>
                <w:sz w:val="20"/>
                <w:szCs w:val="20"/>
                <w:lang w:val="en-US"/>
              </w:rPr>
              <w:t xml:space="preserve"> the application is submitted with the attachment of documents</w:t>
            </w:r>
          </w:p>
        </w:tc>
        <w:tc>
          <w:tcPr>
            <w:tcW w:w="4111" w:type="dxa"/>
          </w:tcPr>
          <w:p w14:paraId="3B222F69" w14:textId="46EBBD51" w:rsidR="006C35D3" w:rsidRPr="004B063A" w:rsidRDefault="006C35D3" w:rsidP="00003156">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1. A petition to the Antimonopoly Authority (with the attachment of the necessary documents in electronic form).</w:t>
            </w:r>
          </w:p>
          <w:p w14:paraId="0D31DBAB" w14:textId="6B4FAD64" w:rsidR="006C35D3" w:rsidRPr="004B063A" w:rsidRDefault="006C35D3" w:rsidP="00003156">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2. Letter of response from the Antimonopoly Authority on the granting of consent</w:t>
            </w:r>
          </w:p>
        </w:tc>
        <w:tc>
          <w:tcPr>
            <w:tcW w:w="2268" w:type="dxa"/>
          </w:tcPr>
          <w:p w14:paraId="4CC4FA20" w14:textId="77777777" w:rsidR="006C35D3" w:rsidRPr="004B063A" w:rsidRDefault="006C35D3"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 xml:space="preserve">The service provider, within ten calendar days from the date of receipt of the application, checks the completeness and accuracy of the documents attached to the application and notifies the service recipient of the acceptance or refusal to accept the application for </w:t>
            </w:r>
            <w:r w:rsidRPr="004B063A">
              <w:rPr>
                <w:rFonts w:ascii="Times New Roman" w:hAnsi="Times New Roman" w:cs="Times New Roman"/>
                <w:sz w:val="20"/>
                <w:szCs w:val="20"/>
                <w:lang w:val="en-US"/>
              </w:rPr>
              <w:lastRenderedPageBreak/>
              <w:t>consideration.</w:t>
            </w:r>
          </w:p>
          <w:p w14:paraId="3BBC70A5" w14:textId="77777777" w:rsidR="006C35D3" w:rsidRPr="004B063A" w:rsidRDefault="006C35D3" w:rsidP="0041665B">
            <w:pPr>
              <w:spacing w:after="60"/>
              <w:jc w:val="both"/>
              <w:rPr>
                <w:rFonts w:ascii="Times New Roman" w:hAnsi="Times New Roman" w:cs="Times New Roman"/>
                <w:sz w:val="20"/>
                <w:szCs w:val="20"/>
                <w:lang w:val="en-US"/>
              </w:rPr>
            </w:pPr>
          </w:p>
          <w:p w14:paraId="6ABBD108" w14:textId="77777777" w:rsidR="006C35D3" w:rsidRPr="004B063A" w:rsidRDefault="006C35D3"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The term for consideration by the Antimonopoly Authority should not exceed thirty calendar days</w:t>
            </w:r>
          </w:p>
          <w:p w14:paraId="473A4DAC" w14:textId="77777777" w:rsidR="006C35D3" w:rsidRPr="004B063A" w:rsidRDefault="006C35D3" w:rsidP="0041665B">
            <w:pPr>
              <w:spacing w:after="60"/>
              <w:jc w:val="both"/>
              <w:rPr>
                <w:rFonts w:ascii="Times New Roman" w:eastAsia="Times New Roman" w:hAnsi="Times New Roman" w:cs="Times New Roman"/>
                <w:sz w:val="20"/>
                <w:szCs w:val="20"/>
                <w:lang w:val="en-US"/>
              </w:rPr>
            </w:pPr>
          </w:p>
        </w:tc>
        <w:tc>
          <w:tcPr>
            <w:tcW w:w="3260" w:type="dxa"/>
          </w:tcPr>
          <w:p w14:paraId="22C29042" w14:textId="77777777" w:rsidR="006C35D3" w:rsidRPr="004B063A" w:rsidRDefault="006C35D3"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lastRenderedPageBreak/>
              <w:t>clause 2. of Art. 200 PK RK</w:t>
            </w:r>
          </w:p>
          <w:p w14:paraId="1D25067A" w14:textId="77777777" w:rsidR="006C35D3" w:rsidRPr="004B063A" w:rsidRDefault="006C35D3"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item 2) item 1 of Art. 201 PK RK</w:t>
            </w:r>
          </w:p>
          <w:p w14:paraId="30762946" w14:textId="6E173EE6" w:rsidR="006C35D3" w:rsidRPr="004B063A" w:rsidRDefault="006C35D3"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Art. 171 PK RK</w:t>
            </w:r>
          </w:p>
          <w:p w14:paraId="401A29B0" w14:textId="77777777" w:rsidR="006C35D3" w:rsidRPr="004B063A" w:rsidRDefault="006C35D3"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Order of the Minister of National Economy of the Republic of Kazakhstan dated April 21, 2020 No. 29 "On approval of the Rules for the provision of public services" Consideration of applications for consent to economic concentration "</w:t>
            </w:r>
          </w:p>
        </w:tc>
        <w:tc>
          <w:tcPr>
            <w:tcW w:w="1635" w:type="dxa"/>
          </w:tcPr>
          <w:p w14:paraId="46BE14D0" w14:textId="77777777" w:rsidR="006C35D3" w:rsidRPr="004B063A" w:rsidRDefault="006C35D3" w:rsidP="00E63876">
            <w:pPr>
              <w:spacing w:after="60"/>
              <w:rPr>
                <w:rFonts w:ascii="Times New Roman" w:hAnsi="Times New Roman" w:cs="Times New Roman"/>
                <w:sz w:val="20"/>
                <w:szCs w:val="20"/>
                <w:lang w:val="en-US"/>
              </w:rPr>
            </w:pPr>
            <w:r w:rsidRPr="004B063A">
              <w:rPr>
                <w:rFonts w:ascii="Times New Roman" w:hAnsi="Times New Roman" w:cs="Times New Roman"/>
                <w:sz w:val="20"/>
                <w:szCs w:val="20"/>
                <w:lang w:val="en-US"/>
              </w:rPr>
              <w:t>List of documents according to the Appendix</w:t>
            </w:r>
          </w:p>
          <w:p w14:paraId="05313B2B" w14:textId="77777777" w:rsidR="006C35D3" w:rsidRPr="004B063A" w:rsidRDefault="006C35D3" w:rsidP="00E63876">
            <w:pPr>
              <w:spacing w:after="60"/>
              <w:rPr>
                <w:rFonts w:ascii="Times New Roman" w:hAnsi="Times New Roman" w:cs="Times New Roman"/>
                <w:sz w:val="20"/>
                <w:szCs w:val="20"/>
                <w:lang w:val="en-US"/>
              </w:rPr>
            </w:pPr>
          </w:p>
          <w:p w14:paraId="4CB79EA9" w14:textId="77777777" w:rsidR="006C35D3" w:rsidRPr="004B063A" w:rsidRDefault="006C35D3" w:rsidP="00E63876">
            <w:pPr>
              <w:spacing w:after="60"/>
              <w:rPr>
                <w:rFonts w:ascii="Times New Roman" w:hAnsi="Times New Roman" w:cs="Times New Roman"/>
                <w:sz w:val="20"/>
                <w:szCs w:val="20"/>
                <w:lang w:val="en-US"/>
              </w:rPr>
            </w:pPr>
          </w:p>
          <w:p w14:paraId="3B4EA285" w14:textId="77777777" w:rsidR="006C35D3" w:rsidRPr="004B063A" w:rsidRDefault="006C35D3" w:rsidP="00E63876">
            <w:pPr>
              <w:spacing w:after="60"/>
              <w:rPr>
                <w:rFonts w:ascii="Times New Roman" w:hAnsi="Times New Roman" w:cs="Times New Roman"/>
                <w:sz w:val="20"/>
                <w:szCs w:val="20"/>
                <w:lang w:val="en-US"/>
              </w:rPr>
            </w:pPr>
          </w:p>
          <w:p w14:paraId="52BD9C16" w14:textId="77777777" w:rsidR="006C35D3" w:rsidRPr="004B063A" w:rsidRDefault="006C35D3" w:rsidP="00E63876">
            <w:pPr>
              <w:spacing w:after="60"/>
              <w:rPr>
                <w:rFonts w:ascii="Times New Roman" w:hAnsi="Times New Roman" w:cs="Times New Roman"/>
                <w:sz w:val="20"/>
                <w:szCs w:val="20"/>
                <w:lang w:val="en-US"/>
              </w:rPr>
            </w:pPr>
          </w:p>
        </w:tc>
      </w:tr>
      <w:tr w:rsidR="00C20418" w:rsidRPr="001C40ED" w14:paraId="125CC222" w14:textId="77777777" w:rsidTr="00265536">
        <w:trPr>
          <w:trHeight w:val="20"/>
        </w:trPr>
        <w:tc>
          <w:tcPr>
            <w:tcW w:w="448" w:type="dxa"/>
          </w:tcPr>
          <w:p w14:paraId="3C59E75F" w14:textId="3EEB24DA" w:rsidR="00C20418" w:rsidRPr="004B063A" w:rsidRDefault="00C20418" w:rsidP="00C20418">
            <w:pPr>
              <w:spacing w:after="60" w:line="240" w:lineRule="auto"/>
              <w:jc w:val="both"/>
              <w:rPr>
                <w:rFonts w:ascii="Times New Roman" w:hAnsi="Times New Roman" w:cs="Times New Roman"/>
                <w:sz w:val="20"/>
                <w:szCs w:val="20"/>
                <w:lang w:val="en-US"/>
              </w:rPr>
            </w:pPr>
          </w:p>
        </w:tc>
        <w:tc>
          <w:tcPr>
            <w:tcW w:w="14872" w:type="dxa"/>
            <w:gridSpan w:val="5"/>
          </w:tcPr>
          <w:p w14:paraId="600DF429" w14:textId="452AD9FD" w:rsidR="00C20418" w:rsidRPr="004B063A" w:rsidRDefault="00C20418" w:rsidP="00CB5772">
            <w:pPr>
              <w:pStyle w:val="1"/>
              <w:rPr>
                <w:sz w:val="20"/>
                <w:szCs w:val="20"/>
                <w:lang w:val="en-US"/>
              </w:rPr>
            </w:pPr>
            <w:bookmarkStart w:id="4" w:name="_Toc57732144"/>
            <w:r w:rsidRPr="004B063A">
              <w:rPr>
                <w:sz w:val="20"/>
                <w:szCs w:val="20"/>
                <w:lang w:val="en-US"/>
              </w:rPr>
              <w:t>Conclusion of a sale and purchase agreement for 100% of a share in the authorized capital of a LLP</w:t>
            </w:r>
            <w:bookmarkEnd w:id="4"/>
          </w:p>
        </w:tc>
      </w:tr>
      <w:tr w:rsidR="006C35D3" w:rsidRPr="001C40ED" w14:paraId="5B03D9F3" w14:textId="77777777" w:rsidTr="00640206">
        <w:trPr>
          <w:trHeight w:val="20"/>
        </w:trPr>
        <w:tc>
          <w:tcPr>
            <w:tcW w:w="448" w:type="dxa"/>
          </w:tcPr>
          <w:p w14:paraId="0B9041C9" w14:textId="77777777" w:rsidR="006C35D3" w:rsidRPr="004B063A" w:rsidRDefault="006C35D3"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50F59537" w14:textId="77777777" w:rsidR="006C35D3" w:rsidRPr="004B063A" w:rsidRDefault="006C35D3" w:rsidP="00D40420">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Opening a Seller's account in Forte Bank system connection remote access</w:t>
            </w:r>
          </w:p>
          <w:p w14:paraId="67FA8E3B" w14:textId="50DD32E0" w:rsidR="006C35D3" w:rsidRPr="004B063A" w:rsidRDefault="006C35D3"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If the Seller does not have a bank account with Forte Bank, open an account</w:t>
            </w:r>
          </w:p>
        </w:tc>
        <w:tc>
          <w:tcPr>
            <w:tcW w:w="4111" w:type="dxa"/>
          </w:tcPr>
          <w:p w14:paraId="3B684C2C" w14:textId="77777777" w:rsidR="006C35D3" w:rsidRPr="004B063A" w:rsidRDefault="006C35D3" w:rsidP="00003156">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 xml:space="preserve">1. Application of the Seller to the bank for opening a bank account. </w:t>
            </w:r>
          </w:p>
          <w:p w14:paraId="122F4DCB" w14:textId="2B3EF4B9" w:rsidR="006C35D3" w:rsidRPr="004B063A" w:rsidRDefault="006C35D3" w:rsidP="00003156">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2. Agreement between the Seller and the bank on the opening and maintenance of a bank account.</w:t>
            </w:r>
          </w:p>
        </w:tc>
        <w:tc>
          <w:tcPr>
            <w:tcW w:w="2268" w:type="dxa"/>
          </w:tcPr>
          <w:p w14:paraId="3BC82EDA" w14:textId="77777777" w:rsidR="006C35D3" w:rsidRPr="004B063A" w:rsidRDefault="006C35D3" w:rsidP="0041665B">
            <w:pPr>
              <w:spacing w:after="60"/>
              <w:jc w:val="both"/>
              <w:rPr>
                <w:rFonts w:ascii="Times New Roman" w:hAnsi="Times New Roman" w:cs="Times New Roman"/>
                <w:sz w:val="20"/>
                <w:szCs w:val="20"/>
                <w:lang w:val="en-US"/>
              </w:rPr>
            </w:pPr>
          </w:p>
        </w:tc>
        <w:tc>
          <w:tcPr>
            <w:tcW w:w="3260" w:type="dxa"/>
          </w:tcPr>
          <w:p w14:paraId="09BA2D53" w14:textId="77777777" w:rsidR="006C35D3" w:rsidRPr="004B063A" w:rsidRDefault="006C35D3" w:rsidP="0041665B">
            <w:pPr>
              <w:spacing w:after="60"/>
              <w:jc w:val="both"/>
              <w:rPr>
                <w:rFonts w:ascii="Times New Roman" w:hAnsi="Times New Roman" w:cs="Times New Roman"/>
                <w:sz w:val="20"/>
                <w:szCs w:val="20"/>
                <w:lang w:val="en-US"/>
              </w:rPr>
            </w:pPr>
          </w:p>
        </w:tc>
        <w:tc>
          <w:tcPr>
            <w:tcW w:w="1635" w:type="dxa"/>
          </w:tcPr>
          <w:p w14:paraId="4669919C" w14:textId="77777777" w:rsidR="006C35D3" w:rsidRPr="004B063A" w:rsidRDefault="006C35D3" w:rsidP="00E63876">
            <w:pPr>
              <w:spacing w:after="60"/>
              <w:rPr>
                <w:rFonts w:ascii="Times New Roman" w:hAnsi="Times New Roman" w:cs="Times New Roman"/>
                <w:sz w:val="20"/>
                <w:szCs w:val="20"/>
                <w:lang w:val="en-US"/>
              </w:rPr>
            </w:pPr>
            <w:r w:rsidRPr="004B063A">
              <w:rPr>
                <w:rFonts w:ascii="Times New Roman" w:hAnsi="Times New Roman" w:cs="Times New Roman"/>
                <w:sz w:val="20"/>
                <w:szCs w:val="20"/>
                <w:lang w:val="en-US"/>
              </w:rPr>
              <w:t>List of documents according to the Appendix</w:t>
            </w:r>
          </w:p>
        </w:tc>
      </w:tr>
      <w:tr w:rsidR="006C35D3" w:rsidRPr="001C40ED" w14:paraId="0CA24264" w14:textId="77777777" w:rsidTr="005166BF">
        <w:trPr>
          <w:trHeight w:val="20"/>
        </w:trPr>
        <w:tc>
          <w:tcPr>
            <w:tcW w:w="448" w:type="dxa"/>
          </w:tcPr>
          <w:p w14:paraId="3DCD15AC" w14:textId="77777777" w:rsidR="006C35D3" w:rsidRPr="004B063A" w:rsidRDefault="006C35D3"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494086E5" w14:textId="5ACB10A7" w:rsidR="006C35D3" w:rsidRPr="004B063A" w:rsidRDefault="006C35D3" w:rsidP="00505950">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Conclusion of the Sale and Purchase Agreement of 100% of the share in the authorized capital of the LLP, between the seller and the buyer</w:t>
            </w:r>
          </w:p>
          <w:p w14:paraId="4A236475" w14:textId="7ADD2564" w:rsidR="006C35D3" w:rsidRPr="004B063A" w:rsidRDefault="006C35D3" w:rsidP="006C35D3">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The parties, in the presence of a notary, sign a sale and purchase agreement for 100% of the share in the authorized capital, while the purchase price will be reduced by the value of the deposit (if any).</w:t>
            </w:r>
          </w:p>
        </w:tc>
        <w:tc>
          <w:tcPr>
            <w:tcW w:w="4111" w:type="dxa"/>
          </w:tcPr>
          <w:p w14:paraId="4AD1BFEF" w14:textId="15FD2F6A" w:rsidR="006C35D3" w:rsidRPr="004B063A" w:rsidRDefault="006C35D3" w:rsidP="001C40ED">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Signed Sale and Purchase Agreement of 100% s</w:t>
            </w:r>
            <w:r w:rsidR="001C40ED">
              <w:rPr>
                <w:rFonts w:ascii="Times New Roman" w:hAnsi="Times New Roman" w:cs="Times New Roman"/>
                <w:sz w:val="20"/>
                <w:szCs w:val="20"/>
                <w:lang w:val="en-US"/>
              </w:rPr>
              <w:t>hare</w:t>
            </w:r>
            <w:r w:rsidRPr="004B063A">
              <w:rPr>
                <w:rFonts w:ascii="Times New Roman" w:hAnsi="Times New Roman" w:cs="Times New Roman"/>
                <w:sz w:val="20"/>
                <w:szCs w:val="20"/>
                <w:lang w:val="en-US"/>
              </w:rPr>
              <w:t xml:space="preserve"> in the authorized capital of the LLP between the seller and the buyer</w:t>
            </w:r>
          </w:p>
        </w:tc>
        <w:tc>
          <w:tcPr>
            <w:tcW w:w="2268" w:type="dxa"/>
          </w:tcPr>
          <w:p w14:paraId="6BBD0F16" w14:textId="77777777" w:rsidR="006C35D3" w:rsidRPr="004B063A" w:rsidRDefault="006C35D3" w:rsidP="0041665B">
            <w:pPr>
              <w:spacing w:after="60"/>
              <w:rPr>
                <w:rFonts w:ascii="Times New Roman" w:hAnsi="Times New Roman" w:cs="Times New Roman"/>
                <w:sz w:val="20"/>
                <w:szCs w:val="20"/>
                <w:lang w:val="en-US"/>
              </w:rPr>
            </w:pPr>
          </w:p>
        </w:tc>
        <w:tc>
          <w:tcPr>
            <w:tcW w:w="3260" w:type="dxa"/>
          </w:tcPr>
          <w:p w14:paraId="4EF8A1F9" w14:textId="77777777" w:rsidR="006C35D3" w:rsidRPr="004B063A" w:rsidRDefault="006C35D3" w:rsidP="0041665B">
            <w:pPr>
              <w:spacing w:after="60"/>
              <w:rPr>
                <w:rFonts w:ascii="Times New Roman" w:hAnsi="Times New Roman" w:cs="Times New Roman"/>
                <w:sz w:val="20"/>
                <w:szCs w:val="20"/>
                <w:lang w:val="en-US"/>
              </w:rPr>
            </w:pPr>
          </w:p>
        </w:tc>
        <w:tc>
          <w:tcPr>
            <w:tcW w:w="1635" w:type="dxa"/>
          </w:tcPr>
          <w:p w14:paraId="336AA559" w14:textId="77777777" w:rsidR="006C35D3" w:rsidRPr="004B063A" w:rsidRDefault="006C35D3" w:rsidP="0041665B">
            <w:pPr>
              <w:spacing w:after="60"/>
              <w:rPr>
                <w:rFonts w:ascii="Times New Roman" w:hAnsi="Times New Roman" w:cs="Times New Roman"/>
                <w:sz w:val="20"/>
                <w:szCs w:val="20"/>
                <w:lang w:val="en-US"/>
              </w:rPr>
            </w:pPr>
            <w:r w:rsidRPr="004B063A">
              <w:rPr>
                <w:rFonts w:ascii="Times New Roman" w:hAnsi="Times New Roman" w:cs="Times New Roman"/>
                <w:sz w:val="20"/>
                <w:szCs w:val="20"/>
                <w:lang w:val="en-US"/>
              </w:rPr>
              <w:t>Item 2, Art. 29 of the Law on LLP</w:t>
            </w:r>
          </w:p>
          <w:p w14:paraId="1D5623A5" w14:textId="77777777" w:rsidR="006C35D3" w:rsidRPr="004B063A" w:rsidRDefault="006C35D3" w:rsidP="0041665B">
            <w:pPr>
              <w:spacing w:after="60"/>
              <w:rPr>
                <w:rFonts w:ascii="Times New Roman" w:hAnsi="Times New Roman" w:cs="Times New Roman"/>
                <w:sz w:val="20"/>
                <w:szCs w:val="20"/>
                <w:lang w:val="en-US"/>
              </w:rPr>
            </w:pPr>
            <w:r w:rsidRPr="004B063A">
              <w:rPr>
                <w:rFonts w:ascii="Times New Roman" w:hAnsi="Times New Roman" w:cs="Times New Roman"/>
                <w:sz w:val="20"/>
                <w:szCs w:val="20"/>
                <w:lang w:val="en-US"/>
              </w:rPr>
              <w:t xml:space="preserve">The agreement on the alienation (assignment) of the right of the outgoing participant in the partnership to a share in the property (authorized capital) of the partnership or its part, to which an individual is a </w:t>
            </w:r>
            <w:r w:rsidRPr="004B063A">
              <w:rPr>
                <w:rFonts w:ascii="Times New Roman" w:hAnsi="Times New Roman" w:cs="Times New Roman"/>
                <w:sz w:val="20"/>
                <w:szCs w:val="20"/>
                <w:lang w:val="en-US"/>
              </w:rPr>
              <w:lastRenderedPageBreak/>
              <w:t>party, is subject to notarization.</w:t>
            </w:r>
          </w:p>
        </w:tc>
      </w:tr>
      <w:tr w:rsidR="006C35D3" w:rsidRPr="001C40ED" w14:paraId="1EA92F5D" w14:textId="77777777" w:rsidTr="00F203CC">
        <w:trPr>
          <w:trHeight w:val="20"/>
        </w:trPr>
        <w:tc>
          <w:tcPr>
            <w:tcW w:w="448" w:type="dxa"/>
          </w:tcPr>
          <w:p w14:paraId="75B6BA14" w14:textId="77777777" w:rsidR="006C35D3" w:rsidRPr="004B063A" w:rsidRDefault="006C35D3"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65EAF630" w14:textId="59A83EF0" w:rsidR="006C35D3" w:rsidRPr="004B063A" w:rsidRDefault="004B53BA" w:rsidP="00F40E1C">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If the parties previously had an agreement on the deposit in securing the transaction, then the Agreement on termination of the agreement on the deposit is concluded</w:t>
            </w:r>
          </w:p>
          <w:p w14:paraId="66763E3D" w14:textId="59CE99B1" w:rsidR="006C35D3" w:rsidRPr="004B063A" w:rsidRDefault="006C35D3" w:rsidP="00F40E1C">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The parties, in the presence of a notary, sign Agreements to terminate the deposit agreement</w:t>
            </w:r>
          </w:p>
        </w:tc>
        <w:tc>
          <w:tcPr>
            <w:tcW w:w="4111" w:type="dxa"/>
          </w:tcPr>
          <w:p w14:paraId="613E8832" w14:textId="521590E9" w:rsidR="006C35D3" w:rsidRPr="004B063A" w:rsidRDefault="006C35D3" w:rsidP="00505950">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Agreement to terminate a deposit agreement</w:t>
            </w:r>
          </w:p>
        </w:tc>
        <w:tc>
          <w:tcPr>
            <w:tcW w:w="2268" w:type="dxa"/>
          </w:tcPr>
          <w:p w14:paraId="36FBBE6E" w14:textId="553FDD8B" w:rsidR="006C35D3" w:rsidRPr="004B063A" w:rsidRDefault="006C35D3" w:rsidP="0041665B">
            <w:pPr>
              <w:spacing w:after="60"/>
              <w:rPr>
                <w:rFonts w:ascii="Times New Roman" w:hAnsi="Times New Roman" w:cs="Times New Roman"/>
                <w:sz w:val="20"/>
                <w:szCs w:val="20"/>
                <w:lang w:val="en-US"/>
              </w:rPr>
            </w:pPr>
            <w:r w:rsidRPr="004B063A">
              <w:rPr>
                <w:rFonts w:ascii="Times New Roman" w:hAnsi="Times New Roman" w:cs="Times New Roman"/>
                <w:sz w:val="20"/>
                <w:szCs w:val="20"/>
                <w:lang w:val="en-US"/>
              </w:rPr>
              <w:t>Simultaneously with the Sales and Purchase Agreement</w:t>
            </w:r>
          </w:p>
        </w:tc>
        <w:tc>
          <w:tcPr>
            <w:tcW w:w="3260" w:type="dxa"/>
          </w:tcPr>
          <w:p w14:paraId="72C55AC0" w14:textId="77777777" w:rsidR="006C35D3" w:rsidRPr="004B063A" w:rsidRDefault="006C35D3" w:rsidP="0041665B">
            <w:pPr>
              <w:spacing w:after="60"/>
              <w:rPr>
                <w:rFonts w:ascii="Times New Roman" w:hAnsi="Times New Roman" w:cs="Times New Roman"/>
                <w:sz w:val="20"/>
                <w:szCs w:val="20"/>
                <w:lang w:val="en-US"/>
              </w:rPr>
            </w:pPr>
          </w:p>
        </w:tc>
        <w:tc>
          <w:tcPr>
            <w:tcW w:w="1635" w:type="dxa"/>
          </w:tcPr>
          <w:p w14:paraId="18375AF5" w14:textId="77777777" w:rsidR="006C35D3" w:rsidRPr="004B063A" w:rsidRDefault="006C35D3" w:rsidP="0041665B">
            <w:pPr>
              <w:spacing w:after="60"/>
              <w:rPr>
                <w:rFonts w:ascii="Times New Roman" w:hAnsi="Times New Roman" w:cs="Times New Roman"/>
                <w:sz w:val="20"/>
                <w:szCs w:val="20"/>
                <w:lang w:val="en-US"/>
              </w:rPr>
            </w:pPr>
          </w:p>
        </w:tc>
      </w:tr>
      <w:tr w:rsidR="004B53BA" w:rsidRPr="001C40ED" w14:paraId="22110898" w14:textId="77777777" w:rsidTr="00040FB1">
        <w:trPr>
          <w:trHeight w:val="20"/>
        </w:trPr>
        <w:tc>
          <w:tcPr>
            <w:tcW w:w="448" w:type="dxa"/>
          </w:tcPr>
          <w:p w14:paraId="1F82D26B" w14:textId="77777777" w:rsidR="004B53BA" w:rsidRPr="004B063A" w:rsidRDefault="004B53BA"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639E2696" w14:textId="77777777" w:rsidR="004B53BA" w:rsidRPr="004B063A" w:rsidRDefault="004B53BA" w:rsidP="00505950">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Signing of the Share Acceptance and Transfer Act</w:t>
            </w:r>
          </w:p>
          <w:p w14:paraId="38C8FACA" w14:textId="453B318B" w:rsidR="004B53BA" w:rsidRPr="004B063A" w:rsidRDefault="004B53BA" w:rsidP="004B53BA">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The act of acceptance and transfer of the share must indicate that the buyer has transferred the share in the amount specified in the contract, that payment will be made in due order.</w:t>
            </w:r>
          </w:p>
        </w:tc>
        <w:tc>
          <w:tcPr>
            <w:tcW w:w="4111" w:type="dxa"/>
          </w:tcPr>
          <w:p w14:paraId="1149EFE0" w14:textId="6D1687C4" w:rsidR="004B53BA" w:rsidRPr="004B063A" w:rsidRDefault="004B53BA" w:rsidP="00505950">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Share Acceptance and Transfer Act</w:t>
            </w:r>
          </w:p>
        </w:tc>
        <w:tc>
          <w:tcPr>
            <w:tcW w:w="2268" w:type="dxa"/>
          </w:tcPr>
          <w:p w14:paraId="5C842BB5" w14:textId="77777777" w:rsidR="004B53BA" w:rsidRPr="004B063A" w:rsidRDefault="004B53BA" w:rsidP="0041665B">
            <w:pPr>
              <w:spacing w:after="60"/>
              <w:rPr>
                <w:rFonts w:ascii="Times New Roman" w:hAnsi="Times New Roman" w:cs="Times New Roman"/>
                <w:sz w:val="20"/>
                <w:szCs w:val="20"/>
                <w:lang w:val="en-US"/>
              </w:rPr>
            </w:pPr>
          </w:p>
        </w:tc>
        <w:tc>
          <w:tcPr>
            <w:tcW w:w="3260" w:type="dxa"/>
          </w:tcPr>
          <w:p w14:paraId="558D9598" w14:textId="77777777" w:rsidR="004B53BA" w:rsidRPr="004B063A" w:rsidRDefault="004B53BA" w:rsidP="0041665B">
            <w:pPr>
              <w:spacing w:after="60"/>
              <w:rPr>
                <w:rFonts w:ascii="Times New Roman" w:hAnsi="Times New Roman" w:cs="Times New Roman"/>
                <w:sz w:val="20"/>
                <w:szCs w:val="20"/>
                <w:lang w:val="en-US"/>
              </w:rPr>
            </w:pPr>
          </w:p>
        </w:tc>
        <w:tc>
          <w:tcPr>
            <w:tcW w:w="1635" w:type="dxa"/>
          </w:tcPr>
          <w:p w14:paraId="33B0D611" w14:textId="77777777" w:rsidR="004B53BA" w:rsidRPr="004B063A" w:rsidRDefault="004B53BA" w:rsidP="0041665B">
            <w:pPr>
              <w:spacing w:after="60"/>
              <w:rPr>
                <w:rFonts w:ascii="Times New Roman" w:hAnsi="Times New Roman" w:cs="Times New Roman"/>
                <w:sz w:val="20"/>
                <w:szCs w:val="20"/>
                <w:lang w:val="en-US"/>
              </w:rPr>
            </w:pPr>
          </w:p>
        </w:tc>
      </w:tr>
      <w:tr w:rsidR="004B53BA" w:rsidRPr="001C40ED" w14:paraId="6164530D" w14:textId="77777777" w:rsidTr="00B91F16">
        <w:trPr>
          <w:trHeight w:val="20"/>
        </w:trPr>
        <w:tc>
          <w:tcPr>
            <w:tcW w:w="448" w:type="dxa"/>
          </w:tcPr>
          <w:p w14:paraId="47D9BAD0" w14:textId="77777777" w:rsidR="004B53BA" w:rsidRPr="004B063A" w:rsidRDefault="004B53BA"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261BD1E7" w14:textId="2E12B4B1" w:rsidR="004B53BA" w:rsidRPr="004B063A" w:rsidRDefault="004B53BA"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Making a payment for the redemption of a share</w:t>
            </w:r>
          </w:p>
          <w:p w14:paraId="7139DACB" w14:textId="362E37B4" w:rsidR="004B53BA" w:rsidRPr="004B063A" w:rsidRDefault="004B53BA"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The procedure and method for making payment must be specified in the share purchase and sale agreement. In addition, the payment of shares must be confirmed by relevant documents.</w:t>
            </w:r>
          </w:p>
        </w:tc>
        <w:tc>
          <w:tcPr>
            <w:tcW w:w="4111" w:type="dxa"/>
          </w:tcPr>
          <w:p w14:paraId="538B9AA7" w14:textId="78D39D2B" w:rsidR="004B53BA" w:rsidRPr="004B063A" w:rsidRDefault="004B53BA" w:rsidP="0022596D">
            <w:pPr>
              <w:pStyle w:val="a0"/>
              <w:spacing w:after="60"/>
              <w:ind w:left="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Bank document confirming the execution of a bank payment</w:t>
            </w:r>
          </w:p>
        </w:tc>
        <w:tc>
          <w:tcPr>
            <w:tcW w:w="2268" w:type="dxa"/>
          </w:tcPr>
          <w:p w14:paraId="2DB8CAB7" w14:textId="77777777" w:rsidR="004B53BA" w:rsidRPr="004B063A" w:rsidRDefault="004B53BA" w:rsidP="0041665B">
            <w:pPr>
              <w:spacing w:after="60"/>
              <w:rPr>
                <w:rFonts w:ascii="Times New Roman" w:hAnsi="Times New Roman" w:cs="Times New Roman"/>
                <w:sz w:val="20"/>
                <w:szCs w:val="20"/>
                <w:lang w:val="en-US"/>
              </w:rPr>
            </w:pPr>
          </w:p>
        </w:tc>
        <w:tc>
          <w:tcPr>
            <w:tcW w:w="3260" w:type="dxa"/>
          </w:tcPr>
          <w:p w14:paraId="2545A45A" w14:textId="77777777" w:rsidR="004B53BA" w:rsidRPr="004B063A" w:rsidRDefault="004B53BA" w:rsidP="0041665B">
            <w:pPr>
              <w:spacing w:after="60"/>
              <w:rPr>
                <w:rFonts w:ascii="Times New Roman" w:hAnsi="Times New Roman" w:cs="Times New Roman"/>
                <w:sz w:val="20"/>
                <w:szCs w:val="20"/>
                <w:lang w:val="en-US"/>
              </w:rPr>
            </w:pPr>
          </w:p>
        </w:tc>
        <w:tc>
          <w:tcPr>
            <w:tcW w:w="1635" w:type="dxa"/>
          </w:tcPr>
          <w:p w14:paraId="7BBECA50" w14:textId="77777777" w:rsidR="004B53BA" w:rsidRPr="004B063A" w:rsidRDefault="004B53BA" w:rsidP="0041665B">
            <w:pPr>
              <w:spacing w:after="60"/>
              <w:rPr>
                <w:rFonts w:ascii="Times New Roman" w:hAnsi="Times New Roman" w:cs="Times New Roman"/>
                <w:sz w:val="20"/>
                <w:szCs w:val="20"/>
                <w:lang w:val="en-US"/>
              </w:rPr>
            </w:pPr>
          </w:p>
        </w:tc>
      </w:tr>
      <w:tr w:rsidR="004B53BA" w:rsidRPr="001C40ED" w14:paraId="3609BD25" w14:textId="77777777" w:rsidTr="00B97D5B">
        <w:trPr>
          <w:trHeight w:val="20"/>
        </w:trPr>
        <w:tc>
          <w:tcPr>
            <w:tcW w:w="448" w:type="dxa"/>
          </w:tcPr>
          <w:p w14:paraId="60D2FA74" w14:textId="77777777" w:rsidR="004B53BA" w:rsidRPr="004B063A" w:rsidRDefault="004B53BA"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430526E1" w14:textId="24C34F25" w:rsidR="004B53BA" w:rsidRPr="004B063A" w:rsidRDefault="004B53BA" w:rsidP="0041665B">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Receiving confirmation of receipt of payment against the share</w:t>
            </w:r>
          </w:p>
        </w:tc>
        <w:tc>
          <w:tcPr>
            <w:tcW w:w="4111" w:type="dxa"/>
          </w:tcPr>
          <w:p w14:paraId="37B15011" w14:textId="6F7E078E" w:rsidR="004B53BA" w:rsidRPr="004B063A" w:rsidRDefault="004B53BA" w:rsidP="00003156">
            <w:pPr>
              <w:pStyle w:val="a0"/>
              <w:spacing w:after="60"/>
              <w:ind w:left="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Bank document confirming the execution of a bank payment</w:t>
            </w:r>
          </w:p>
        </w:tc>
        <w:tc>
          <w:tcPr>
            <w:tcW w:w="2268" w:type="dxa"/>
          </w:tcPr>
          <w:p w14:paraId="28597D36" w14:textId="77777777" w:rsidR="004B53BA" w:rsidRPr="004B063A" w:rsidRDefault="004B53BA" w:rsidP="0041665B">
            <w:pPr>
              <w:spacing w:after="60"/>
              <w:rPr>
                <w:rFonts w:ascii="Times New Roman" w:hAnsi="Times New Roman" w:cs="Times New Roman"/>
                <w:sz w:val="20"/>
                <w:szCs w:val="20"/>
                <w:lang w:val="en-US"/>
              </w:rPr>
            </w:pPr>
          </w:p>
        </w:tc>
        <w:tc>
          <w:tcPr>
            <w:tcW w:w="3260" w:type="dxa"/>
          </w:tcPr>
          <w:p w14:paraId="0C253CB7" w14:textId="77777777" w:rsidR="004B53BA" w:rsidRPr="004B063A" w:rsidRDefault="004B53BA" w:rsidP="0041665B">
            <w:pPr>
              <w:spacing w:after="60"/>
              <w:rPr>
                <w:rFonts w:ascii="Times New Roman" w:hAnsi="Times New Roman" w:cs="Times New Roman"/>
                <w:sz w:val="20"/>
                <w:szCs w:val="20"/>
                <w:lang w:val="en-US"/>
              </w:rPr>
            </w:pPr>
          </w:p>
        </w:tc>
        <w:tc>
          <w:tcPr>
            <w:tcW w:w="1635" w:type="dxa"/>
          </w:tcPr>
          <w:p w14:paraId="0B96DF86" w14:textId="77777777" w:rsidR="004B53BA" w:rsidRPr="004B063A" w:rsidRDefault="004B53BA" w:rsidP="0041665B">
            <w:pPr>
              <w:spacing w:after="60"/>
              <w:rPr>
                <w:rFonts w:ascii="Times New Roman" w:hAnsi="Times New Roman" w:cs="Times New Roman"/>
                <w:sz w:val="20"/>
                <w:szCs w:val="20"/>
                <w:lang w:val="en-US"/>
              </w:rPr>
            </w:pPr>
          </w:p>
        </w:tc>
      </w:tr>
      <w:tr w:rsidR="00007363" w:rsidRPr="001C40ED" w14:paraId="4711EAA2" w14:textId="77777777" w:rsidTr="00265536">
        <w:trPr>
          <w:trHeight w:val="20"/>
        </w:trPr>
        <w:tc>
          <w:tcPr>
            <w:tcW w:w="448" w:type="dxa"/>
          </w:tcPr>
          <w:p w14:paraId="0D3F9E09" w14:textId="77777777" w:rsidR="00007363" w:rsidRPr="004B063A" w:rsidRDefault="00007363" w:rsidP="00631BA3">
            <w:pPr>
              <w:spacing w:after="60" w:line="240" w:lineRule="auto"/>
              <w:jc w:val="both"/>
              <w:rPr>
                <w:rFonts w:ascii="Times New Roman" w:hAnsi="Times New Roman" w:cs="Times New Roman"/>
                <w:sz w:val="20"/>
                <w:szCs w:val="20"/>
                <w:lang w:val="en-US"/>
              </w:rPr>
            </w:pPr>
          </w:p>
        </w:tc>
        <w:tc>
          <w:tcPr>
            <w:tcW w:w="14872" w:type="dxa"/>
            <w:gridSpan w:val="5"/>
          </w:tcPr>
          <w:p w14:paraId="5C9E7C42" w14:textId="262D88A9" w:rsidR="00007363" w:rsidRPr="004B063A" w:rsidRDefault="00007363" w:rsidP="00CB5772">
            <w:pPr>
              <w:pStyle w:val="1"/>
              <w:rPr>
                <w:sz w:val="20"/>
                <w:szCs w:val="20"/>
                <w:lang w:val="en-US"/>
              </w:rPr>
            </w:pPr>
            <w:bookmarkStart w:id="5" w:name="_Toc57732145"/>
            <w:r w:rsidRPr="004B063A">
              <w:rPr>
                <w:sz w:val="20"/>
                <w:szCs w:val="20"/>
                <w:lang w:val="en-US"/>
              </w:rPr>
              <w:t xml:space="preserve">State re-registration of LLP </w:t>
            </w:r>
            <w:bookmarkEnd w:id="5"/>
          </w:p>
        </w:tc>
      </w:tr>
      <w:tr w:rsidR="00401A2D" w:rsidRPr="001C40ED" w14:paraId="4A1D3450" w14:textId="77777777" w:rsidTr="00895E8F">
        <w:trPr>
          <w:trHeight w:val="20"/>
        </w:trPr>
        <w:tc>
          <w:tcPr>
            <w:tcW w:w="448" w:type="dxa"/>
          </w:tcPr>
          <w:p w14:paraId="15632FF5" w14:textId="77777777" w:rsidR="00401A2D" w:rsidRPr="004B063A" w:rsidRDefault="00401A2D"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6705AD7E" w14:textId="7BB69F7D" w:rsidR="00401A2D" w:rsidRPr="004B063A" w:rsidRDefault="00401A2D" w:rsidP="00CB5772">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 xml:space="preserve">Adoption of a decision by the LLP to adopt a new version of the Charter. The decision is signed by the previous </w:t>
            </w:r>
            <w:r w:rsidRPr="004B063A">
              <w:rPr>
                <w:rFonts w:ascii="Times New Roman" w:hAnsi="Times New Roman" w:cs="Times New Roman"/>
                <w:sz w:val="20"/>
                <w:szCs w:val="20"/>
                <w:lang w:val="en-US"/>
              </w:rPr>
              <w:lastRenderedPageBreak/>
              <w:t>participant that he is familiar with and agrees.</w:t>
            </w:r>
          </w:p>
        </w:tc>
        <w:tc>
          <w:tcPr>
            <w:tcW w:w="4111" w:type="dxa"/>
          </w:tcPr>
          <w:p w14:paraId="48AA17E8" w14:textId="42166013" w:rsidR="00401A2D" w:rsidRPr="004B063A" w:rsidRDefault="00401A2D" w:rsidP="00CB5772">
            <w:pPr>
              <w:pStyle w:val="a0"/>
              <w:spacing w:after="60"/>
              <w:ind w:left="0"/>
              <w:jc w:val="both"/>
              <w:rPr>
                <w:lang w:val="en-US"/>
              </w:rPr>
            </w:pPr>
            <w:r w:rsidRPr="004B063A">
              <w:rPr>
                <w:rFonts w:ascii="Times New Roman" w:hAnsi="Times New Roman" w:cs="Times New Roman"/>
                <w:sz w:val="20"/>
                <w:szCs w:val="20"/>
                <w:lang w:val="en-US"/>
              </w:rPr>
              <w:lastRenderedPageBreak/>
              <w:t>New edition of the LLP Charter</w:t>
            </w:r>
            <w:r w:rsidRPr="004B063A">
              <w:rPr>
                <w:lang w:val="en-US"/>
              </w:rPr>
              <w:tab/>
            </w:r>
          </w:p>
        </w:tc>
        <w:tc>
          <w:tcPr>
            <w:tcW w:w="2268" w:type="dxa"/>
          </w:tcPr>
          <w:p w14:paraId="550DC083" w14:textId="77777777" w:rsidR="00401A2D" w:rsidRPr="004B063A" w:rsidRDefault="00401A2D" w:rsidP="0041665B">
            <w:pPr>
              <w:spacing w:after="60"/>
              <w:rPr>
                <w:rFonts w:ascii="Times New Roman" w:hAnsi="Times New Roman" w:cs="Times New Roman"/>
                <w:sz w:val="20"/>
                <w:szCs w:val="20"/>
                <w:lang w:val="en-US"/>
              </w:rPr>
            </w:pPr>
          </w:p>
        </w:tc>
        <w:tc>
          <w:tcPr>
            <w:tcW w:w="3260" w:type="dxa"/>
          </w:tcPr>
          <w:p w14:paraId="0B9F5150" w14:textId="77777777" w:rsidR="00401A2D" w:rsidRPr="004B063A" w:rsidRDefault="00401A2D" w:rsidP="0041665B">
            <w:pPr>
              <w:spacing w:after="60"/>
              <w:rPr>
                <w:rFonts w:ascii="Times New Roman" w:hAnsi="Times New Roman" w:cs="Times New Roman"/>
                <w:sz w:val="20"/>
                <w:szCs w:val="20"/>
                <w:lang w:val="en-US"/>
              </w:rPr>
            </w:pPr>
          </w:p>
        </w:tc>
        <w:tc>
          <w:tcPr>
            <w:tcW w:w="1635" w:type="dxa"/>
          </w:tcPr>
          <w:p w14:paraId="79FF16DE" w14:textId="77777777" w:rsidR="00401A2D" w:rsidRPr="004B063A" w:rsidRDefault="00401A2D" w:rsidP="0041665B">
            <w:pPr>
              <w:spacing w:after="60"/>
              <w:rPr>
                <w:rFonts w:ascii="Times New Roman" w:hAnsi="Times New Roman" w:cs="Times New Roman"/>
                <w:sz w:val="20"/>
                <w:szCs w:val="20"/>
                <w:lang w:val="en-US"/>
              </w:rPr>
            </w:pPr>
          </w:p>
        </w:tc>
      </w:tr>
      <w:tr w:rsidR="00401A2D" w:rsidRPr="001C40ED" w14:paraId="36C35AB1" w14:textId="77777777" w:rsidTr="00790519">
        <w:trPr>
          <w:trHeight w:val="20"/>
        </w:trPr>
        <w:tc>
          <w:tcPr>
            <w:tcW w:w="448" w:type="dxa"/>
          </w:tcPr>
          <w:p w14:paraId="5D6CD008" w14:textId="77777777" w:rsidR="00401A2D" w:rsidRPr="004B063A" w:rsidRDefault="00401A2D" w:rsidP="0041665B">
            <w:pPr>
              <w:numPr>
                <w:ilvl w:val="0"/>
                <w:numId w:val="1"/>
              </w:numPr>
              <w:tabs>
                <w:tab w:val="num" w:pos="0"/>
              </w:tabs>
              <w:spacing w:after="60" w:line="240" w:lineRule="auto"/>
              <w:ind w:left="0" w:firstLine="0"/>
              <w:jc w:val="both"/>
              <w:rPr>
                <w:rFonts w:ascii="Times New Roman" w:hAnsi="Times New Roman" w:cs="Times New Roman"/>
                <w:sz w:val="20"/>
                <w:szCs w:val="20"/>
                <w:lang w:val="en-US"/>
              </w:rPr>
            </w:pPr>
          </w:p>
        </w:tc>
        <w:tc>
          <w:tcPr>
            <w:tcW w:w="3598" w:type="dxa"/>
          </w:tcPr>
          <w:p w14:paraId="5361FE31" w14:textId="6F709C1B" w:rsidR="00401A2D" w:rsidRPr="004B063A" w:rsidRDefault="00401A2D" w:rsidP="002C2CCA">
            <w:pPr>
              <w:spacing w:after="60"/>
              <w:jc w:val="both"/>
              <w:rPr>
                <w:rFonts w:ascii="Times New Roman" w:hAnsi="Times New Roman" w:cs="Times New Roman"/>
                <w:b/>
                <w:sz w:val="20"/>
                <w:szCs w:val="20"/>
                <w:lang w:val="en-US"/>
              </w:rPr>
            </w:pPr>
            <w:r w:rsidRPr="004B063A">
              <w:rPr>
                <w:rFonts w:ascii="Times New Roman" w:hAnsi="Times New Roman" w:cs="Times New Roman"/>
                <w:sz w:val="20"/>
                <w:szCs w:val="20"/>
                <w:lang w:val="en-US"/>
              </w:rPr>
              <w:t xml:space="preserve">State re-registration of LLP </w:t>
            </w:r>
          </w:p>
          <w:p w14:paraId="65197C69" w14:textId="37FBD688" w:rsidR="00401A2D" w:rsidRPr="004B063A" w:rsidRDefault="00401A2D" w:rsidP="000A0AF5">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 xml:space="preserve">Documents for state re-registration are submitted through the "electronic government" web portal: www.egov.kz </w:t>
            </w:r>
          </w:p>
          <w:p w14:paraId="1DC6B34B" w14:textId="77777777" w:rsidR="00401A2D" w:rsidRPr="004B063A" w:rsidRDefault="00401A2D" w:rsidP="000A0AF5">
            <w:pPr>
              <w:spacing w:after="60"/>
              <w:jc w:val="both"/>
              <w:rPr>
                <w:rFonts w:ascii="Times New Roman" w:hAnsi="Times New Roman" w:cs="Times New Roman"/>
                <w:sz w:val="20"/>
                <w:szCs w:val="20"/>
                <w:lang w:val="en-US"/>
              </w:rPr>
            </w:pPr>
          </w:p>
        </w:tc>
        <w:tc>
          <w:tcPr>
            <w:tcW w:w="4111" w:type="dxa"/>
          </w:tcPr>
          <w:p w14:paraId="1C648571" w14:textId="77777777" w:rsidR="00401A2D" w:rsidRPr="004B063A" w:rsidRDefault="00401A2D" w:rsidP="00003156">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1. Application for re-registration of the Articles of Association</w:t>
            </w:r>
          </w:p>
          <w:p w14:paraId="575FF7B9" w14:textId="0CBC123B" w:rsidR="00401A2D" w:rsidRPr="004B063A" w:rsidRDefault="00401A2D" w:rsidP="00003156">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2. The decision of the LLP on the approval of the charter of the LLP (amended and supplemented or in a new edition).</w:t>
            </w:r>
          </w:p>
          <w:p w14:paraId="17AF4C7A" w14:textId="35D6FDE5" w:rsidR="00401A2D" w:rsidRPr="004B063A" w:rsidRDefault="00401A2D" w:rsidP="00003156">
            <w:pPr>
              <w:spacing w:after="6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3. LLP Charter (revised and supplemented or revised).</w:t>
            </w:r>
          </w:p>
          <w:p w14:paraId="6AD91458" w14:textId="3B1596BF" w:rsidR="00401A2D" w:rsidRPr="004B063A" w:rsidRDefault="00401A2D" w:rsidP="00003156">
            <w:pPr>
              <w:pStyle w:val="a0"/>
              <w:spacing w:after="60"/>
              <w:ind w:left="0"/>
              <w:jc w:val="both"/>
              <w:rPr>
                <w:rFonts w:ascii="Times New Roman" w:hAnsi="Times New Roman" w:cs="Times New Roman"/>
                <w:sz w:val="20"/>
                <w:szCs w:val="20"/>
                <w:lang w:val="en-US"/>
              </w:rPr>
            </w:pPr>
            <w:r w:rsidRPr="004B063A">
              <w:rPr>
                <w:rFonts w:ascii="Times New Roman" w:hAnsi="Times New Roman" w:cs="Times New Roman"/>
                <w:sz w:val="20"/>
                <w:szCs w:val="20"/>
                <w:lang w:val="en-US"/>
              </w:rPr>
              <w:t>4. Notification / certificate of the registering authority on state re-registration</w:t>
            </w:r>
          </w:p>
        </w:tc>
        <w:tc>
          <w:tcPr>
            <w:tcW w:w="2268" w:type="dxa"/>
          </w:tcPr>
          <w:p w14:paraId="24EE547A" w14:textId="77777777" w:rsidR="00401A2D" w:rsidRPr="008C7C1C" w:rsidRDefault="00401A2D" w:rsidP="0041665B">
            <w:pPr>
              <w:spacing w:after="60"/>
              <w:rPr>
                <w:rFonts w:ascii="Times New Roman" w:hAnsi="Times New Roman" w:cs="Times New Roman"/>
                <w:sz w:val="20"/>
                <w:szCs w:val="20"/>
              </w:rPr>
            </w:pPr>
            <w:r w:rsidRPr="008C7C1C">
              <w:rPr>
                <w:rFonts w:ascii="Times New Roman" w:hAnsi="Times New Roman" w:cs="Times New Roman"/>
                <w:sz w:val="20"/>
                <w:szCs w:val="20"/>
              </w:rPr>
              <w:t>1 working day</w:t>
            </w:r>
          </w:p>
        </w:tc>
        <w:tc>
          <w:tcPr>
            <w:tcW w:w="3260" w:type="dxa"/>
          </w:tcPr>
          <w:p w14:paraId="662BA45C" w14:textId="77777777" w:rsidR="00401A2D" w:rsidRPr="004B063A" w:rsidRDefault="00401A2D" w:rsidP="0041665B">
            <w:pPr>
              <w:spacing w:after="60"/>
              <w:rPr>
                <w:rFonts w:ascii="Times New Roman" w:hAnsi="Times New Roman" w:cs="Times New Roman"/>
                <w:sz w:val="20"/>
                <w:szCs w:val="20"/>
                <w:lang w:val="en-US"/>
              </w:rPr>
            </w:pPr>
            <w:r w:rsidRPr="004B063A">
              <w:rPr>
                <w:rFonts w:ascii="Times New Roman" w:hAnsi="Times New Roman" w:cs="Times New Roman"/>
                <w:sz w:val="20"/>
                <w:szCs w:val="20"/>
                <w:lang w:val="en-US"/>
              </w:rPr>
              <w:t>p.p. 3) clause 6 of Art. 42 of the Civil Code of the Republic of Kazakhstan</w:t>
            </w:r>
          </w:p>
        </w:tc>
        <w:tc>
          <w:tcPr>
            <w:tcW w:w="1635" w:type="dxa"/>
          </w:tcPr>
          <w:p w14:paraId="334D47AC" w14:textId="77777777" w:rsidR="00401A2D" w:rsidRPr="004B063A" w:rsidRDefault="00401A2D" w:rsidP="0041665B">
            <w:pPr>
              <w:spacing w:after="60"/>
              <w:rPr>
                <w:rFonts w:ascii="Times New Roman" w:hAnsi="Times New Roman" w:cs="Times New Roman"/>
                <w:sz w:val="20"/>
                <w:szCs w:val="20"/>
                <w:lang w:val="en-US"/>
              </w:rPr>
            </w:pPr>
            <w:r w:rsidRPr="004B063A">
              <w:rPr>
                <w:rFonts w:ascii="Times New Roman" w:hAnsi="Times New Roman" w:cs="Times New Roman"/>
                <w:sz w:val="20"/>
                <w:szCs w:val="20"/>
                <w:lang w:val="en-US"/>
              </w:rPr>
              <w:t>List of documents according to the Appendix</w:t>
            </w:r>
          </w:p>
        </w:tc>
      </w:tr>
    </w:tbl>
    <w:p w14:paraId="793680FC" w14:textId="77777777" w:rsidR="00447306" w:rsidRPr="004B063A" w:rsidRDefault="00447306" w:rsidP="00633A9F">
      <w:pPr>
        <w:spacing w:after="0"/>
        <w:rPr>
          <w:rFonts w:ascii="Times New Roman" w:hAnsi="Times New Roman" w:cs="Times New Roman"/>
          <w:sz w:val="20"/>
          <w:szCs w:val="20"/>
          <w:lang w:val="en-US"/>
        </w:rPr>
      </w:pPr>
    </w:p>
    <w:p w14:paraId="77331263" w14:textId="77777777" w:rsidR="00447306" w:rsidRPr="004B063A" w:rsidRDefault="00496978" w:rsidP="00633A9F">
      <w:pPr>
        <w:spacing w:after="0"/>
        <w:rPr>
          <w:rFonts w:ascii="Times New Roman" w:hAnsi="Times New Roman" w:cs="Times New Roman"/>
          <w:b/>
          <w:sz w:val="20"/>
          <w:szCs w:val="20"/>
          <w:lang w:val="en-US"/>
        </w:rPr>
      </w:pPr>
      <w:r w:rsidRPr="004B063A">
        <w:rPr>
          <w:rFonts w:ascii="Times New Roman" w:hAnsi="Times New Roman" w:cs="Times New Roman"/>
          <w:b/>
          <w:sz w:val="20"/>
          <w:szCs w:val="20"/>
          <w:lang w:val="en-US"/>
        </w:rPr>
        <w:t xml:space="preserve">Application </w:t>
      </w:r>
    </w:p>
    <w:p w14:paraId="785BA8FD" w14:textId="77777777" w:rsidR="006A4625" w:rsidRPr="004B063A" w:rsidRDefault="006A4625" w:rsidP="00633A9F">
      <w:pPr>
        <w:spacing w:after="0"/>
        <w:rPr>
          <w:rFonts w:ascii="Times New Roman" w:hAnsi="Times New Roman" w:cs="Times New Roman"/>
          <w:b/>
          <w:sz w:val="20"/>
          <w:szCs w:val="20"/>
          <w:lang w:val="en-US"/>
        </w:rPr>
      </w:pPr>
    </w:p>
    <w:p w14:paraId="732AFD28" w14:textId="0A3C9CDC" w:rsidR="006A4625" w:rsidRPr="004B063A" w:rsidRDefault="006A4625" w:rsidP="00633A9F">
      <w:pPr>
        <w:spacing w:after="0"/>
        <w:rPr>
          <w:rFonts w:ascii="Times New Roman" w:hAnsi="Times New Roman" w:cs="Times New Roman"/>
          <w:b/>
          <w:sz w:val="20"/>
          <w:szCs w:val="20"/>
          <w:lang w:val="en-US"/>
        </w:rPr>
      </w:pPr>
      <w:r w:rsidRPr="004B063A">
        <w:rPr>
          <w:rFonts w:ascii="Times New Roman" w:hAnsi="Times New Roman" w:cs="Times New Roman"/>
          <w:b/>
          <w:sz w:val="20"/>
          <w:szCs w:val="20"/>
          <w:lang w:val="en-US"/>
        </w:rPr>
        <w:t>1. List of documents for state registration of rights (encumbrances of rights) to real estate</w:t>
      </w:r>
    </w:p>
    <w:p w14:paraId="05FC6660" w14:textId="77777777" w:rsidR="006A4625" w:rsidRPr="004B063A" w:rsidRDefault="006A4625" w:rsidP="006A4625">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1) Application for state registration of rights (encumbrances of rights) to real estate in the form</w:t>
      </w:r>
    </w:p>
    <w:p w14:paraId="3EF02147" w14:textId="7FE54F99" w:rsidR="006A4625" w:rsidRPr="004B063A" w:rsidRDefault="006A4625" w:rsidP="006A4625">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2) the original document of title confirming the object of registration.</w:t>
      </w:r>
    </w:p>
    <w:p w14:paraId="1D3987AC" w14:textId="77777777" w:rsidR="006A4625" w:rsidRPr="004B063A" w:rsidRDefault="006A4625" w:rsidP="006A4625">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In case of registration of the right (encumbrance) to a land plot, an identification document for the land plot is submitted.</w:t>
      </w:r>
    </w:p>
    <w:p w14:paraId="43169405" w14:textId="77777777" w:rsidR="006A4625" w:rsidRPr="004B063A" w:rsidRDefault="006A4625" w:rsidP="006A4625">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3) A document confirming payment for state registration of rights to real estate.</w:t>
      </w:r>
    </w:p>
    <w:p w14:paraId="5439690B" w14:textId="77777777" w:rsidR="006A4625" w:rsidRPr="004B063A" w:rsidRDefault="006A4625" w:rsidP="006A4625">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4) legal entity persons also submit copies of the founding. the documents;</w:t>
      </w:r>
    </w:p>
    <w:p w14:paraId="6F6EF4E2" w14:textId="397FB40C" w:rsidR="006A4625" w:rsidRPr="004B063A" w:rsidRDefault="006A4625" w:rsidP="006A4625">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 minutes of meetings (extracts from them) of founders</w:t>
      </w:r>
    </w:p>
    <w:p w14:paraId="7D556A0E" w14:textId="77777777" w:rsidR="00447306" w:rsidRPr="004B063A" w:rsidRDefault="00447306" w:rsidP="00633A9F">
      <w:pPr>
        <w:spacing w:after="0"/>
        <w:rPr>
          <w:rFonts w:ascii="Times New Roman" w:hAnsi="Times New Roman" w:cs="Times New Roman"/>
          <w:sz w:val="20"/>
          <w:szCs w:val="20"/>
          <w:lang w:val="en-US"/>
        </w:rPr>
      </w:pPr>
    </w:p>
    <w:p w14:paraId="50D2924C" w14:textId="74C9A512" w:rsidR="00273C4A" w:rsidRPr="004B063A" w:rsidRDefault="006A4625" w:rsidP="00633A9F">
      <w:pPr>
        <w:spacing w:after="0"/>
        <w:rPr>
          <w:rFonts w:ascii="Times New Roman" w:hAnsi="Times New Roman" w:cs="Times New Roman"/>
          <w:b/>
          <w:sz w:val="20"/>
          <w:szCs w:val="20"/>
          <w:lang w:val="en-US"/>
        </w:rPr>
      </w:pPr>
      <w:r w:rsidRPr="004B063A">
        <w:rPr>
          <w:rFonts w:ascii="Times New Roman" w:hAnsi="Times New Roman" w:cs="Times New Roman"/>
          <w:b/>
          <w:sz w:val="20"/>
          <w:szCs w:val="20"/>
          <w:lang w:val="en-US"/>
        </w:rPr>
        <w:t>2. List of documents for contacting the Antimonopoly Authority:</w:t>
      </w:r>
    </w:p>
    <w:p w14:paraId="39434726" w14:textId="77777777" w:rsidR="00101D9E" w:rsidRPr="004B063A" w:rsidRDefault="00101D9E" w:rsidP="00633A9F">
      <w:pPr>
        <w:spacing w:after="0"/>
        <w:rPr>
          <w:rFonts w:ascii="Times New Roman" w:hAnsi="Times New Roman" w:cs="Times New Roman"/>
          <w:i/>
          <w:sz w:val="20"/>
          <w:szCs w:val="20"/>
          <w:lang w:val="en-US"/>
        </w:rPr>
      </w:pPr>
      <w:r w:rsidRPr="004B063A">
        <w:rPr>
          <w:rFonts w:ascii="Times New Roman" w:hAnsi="Times New Roman" w:cs="Times New Roman"/>
          <w:i/>
          <w:sz w:val="20"/>
          <w:szCs w:val="20"/>
          <w:lang w:val="en-US"/>
        </w:rPr>
        <w:t>(Application for consent to economic concentration in accordance with the annex to the State Standard "Consideration of applications for consent to economic concentration" approved by Order of the Minister of National Economy of the Republic of Kazakhstan dated April 21, 2020 No. 29)</w:t>
      </w:r>
    </w:p>
    <w:p w14:paraId="650D58F7" w14:textId="77777777" w:rsidR="00101D9E" w:rsidRPr="004B063A" w:rsidRDefault="00101D9E" w:rsidP="00633A9F">
      <w:pPr>
        <w:spacing w:after="0"/>
        <w:rPr>
          <w:rFonts w:ascii="Times New Roman" w:hAnsi="Times New Roman" w:cs="Times New Roman"/>
          <w:sz w:val="20"/>
          <w:szCs w:val="20"/>
          <w:lang w:val="en-US"/>
        </w:rPr>
      </w:pPr>
    </w:p>
    <w:p w14:paraId="4C1AE59B" w14:textId="77777777"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1) agreement or draft agreement or other document confirming the transaction;</w:t>
      </w:r>
    </w:p>
    <w:p w14:paraId="3EE73809" w14:textId="6CA58693"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2) for LLP (buyer) and for each market entity included with LLP in the same group of persons, the following shall be indicated:</w:t>
      </w:r>
    </w:p>
    <w:p w14:paraId="475D8B1C" w14:textId="77777777"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 for an individual - data of his identity document, information about citizenship, as well as place of residence and legal address;</w:t>
      </w:r>
    </w:p>
    <w:p w14:paraId="6AAE82D7" w14:textId="77777777"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 name, legal and actual addresses;</w:t>
      </w:r>
    </w:p>
    <w:p w14:paraId="43DE71DC" w14:textId="77777777"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lastRenderedPageBreak/>
        <w:t>- the size of the authorized capital and the share of participation in the authorized capital;</w:t>
      </w:r>
    </w:p>
    <w:p w14:paraId="47C2D326" w14:textId="77777777"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 types of shares;</w:t>
      </w:r>
    </w:p>
    <w:p w14:paraId="182B248F" w14:textId="77777777"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 the volume of production and sale, export and import to the Republic of Kazakhstan of goods similar to goods or interchangeable goods produced or sold by a market entity in relation to which the actions provided for by subparagraph 2) of this paragraph are performed;</w:t>
      </w:r>
    </w:p>
    <w:p w14:paraId="4A264DED" w14:textId="77777777"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3) a list of members of the executive body, the board of directors (supervisory board) with an indication of their positions, who are also members of the executive body, the board of directors (supervisory board) of other market entities;</w:t>
      </w:r>
    </w:p>
    <w:p w14:paraId="3A885DFB" w14:textId="77777777"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4) the volume of production and sale, export and import of goods to the Republic of Kazakhstan of a market entity, in relation to which the following actions are performed, provided for by subparagraph 2) of this paragraph;</w:t>
      </w:r>
    </w:p>
    <w:p w14:paraId="1C8A3AB5" w14:textId="77777777"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5) the volume of production and sale, export and import to the Republic of Kazakhstan of the same or interchangeable goods produced or sold by market entities that are under the direct or indirect control of the market entity in relation to which the actions provided for by subparagraph 2) of this paragraph are performed;</w:t>
      </w:r>
    </w:p>
    <w:p w14:paraId="7DFAE108" w14:textId="5728797C"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6) information on the rights that, after the transaction is completed, the acquirer will receive in relation to the market entity and (or) its group of persons, in respect of which the actions provided for by subparagraph 2) of this paragraph are performed, including the number and price of the placement of shares (shares of participation in authorized capital, shares) of the market entity, which will be disposed by the acquirer after the transaction, as well as their share as a percentage of the total number of shares (</w:t>
      </w:r>
      <w:r w:rsidR="001C40ED">
        <w:rPr>
          <w:rFonts w:ascii="Times New Roman" w:hAnsi="Times New Roman" w:cs="Times New Roman"/>
          <w:sz w:val="20"/>
          <w:szCs w:val="20"/>
          <w:lang w:val="en-US"/>
        </w:rPr>
        <w:t>shar</w:t>
      </w:r>
      <w:r w:rsidRPr="004B063A">
        <w:rPr>
          <w:rFonts w:ascii="Times New Roman" w:hAnsi="Times New Roman" w:cs="Times New Roman"/>
          <w:sz w:val="20"/>
          <w:szCs w:val="20"/>
          <w:lang w:val="en-US"/>
        </w:rPr>
        <w:t>es in the authorized capital, shares) with the right to vote of the market entity and their share as a percentage of the authorized capital of the market entity ;</w:t>
      </w:r>
    </w:p>
    <w:p w14:paraId="1C97E15A" w14:textId="77777777" w:rsidR="00101D9E" w:rsidRPr="004B063A" w:rsidRDefault="00101D9E" w:rsidP="00101D9E">
      <w:pPr>
        <w:spacing w:after="0"/>
        <w:rPr>
          <w:rFonts w:ascii="Times New Roman" w:hAnsi="Times New Roman" w:cs="Times New Roman"/>
          <w:sz w:val="20"/>
          <w:szCs w:val="20"/>
          <w:lang w:val="en-US"/>
        </w:rPr>
      </w:pPr>
      <w:r w:rsidRPr="004B063A">
        <w:rPr>
          <w:rFonts w:ascii="Times New Roman" w:hAnsi="Times New Roman" w:cs="Times New Roman"/>
          <w:sz w:val="20"/>
          <w:szCs w:val="20"/>
          <w:lang w:val="en-US"/>
        </w:rPr>
        <w:t>7) forecast of production and sale of the same or interchangeable goods as a result of this transaction.</w:t>
      </w:r>
    </w:p>
    <w:p w14:paraId="09ACED79" w14:textId="77777777" w:rsidR="00496978" w:rsidRPr="004B063A" w:rsidRDefault="00496978" w:rsidP="00D40420">
      <w:pPr>
        <w:spacing w:after="0"/>
        <w:rPr>
          <w:rFonts w:ascii="Times New Roman" w:hAnsi="Times New Roman" w:cs="Times New Roman"/>
          <w:b/>
          <w:sz w:val="20"/>
          <w:szCs w:val="20"/>
          <w:lang w:val="en-US"/>
        </w:rPr>
      </w:pPr>
    </w:p>
    <w:p w14:paraId="63585295" w14:textId="2051D1E2" w:rsidR="002C2CCA" w:rsidRPr="004B063A" w:rsidRDefault="002C2CCA" w:rsidP="00483932">
      <w:pPr>
        <w:spacing w:after="0"/>
        <w:rPr>
          <w:rFonts w:ascii="Times New Roman" w:hAnsi="Times New Roman" w:cs="Times New Roman"/>
          <w:sz w:val="20"/>
          <w:szCs w:val="20"/>
          <w:lang w:val="en-US"/>
        </w:rPr>
      </w:pPr>
    </w:p>
    <w:sectPr w:rsidR="002C2CCA" w:rsidRPr="004B063A" w:rsidSect="00101D9E">
      <w:headerReference w:type="default" r:id="rId9"/>
      <w:footerReference w:type="default" r:id="rId10"/>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A60E" w16cex:dateUtc="2020-12-03T11:59:00Z"/>
  <w16cex:commentExtensible w16cex:durableId="23720A9C" w16cex:dateUtc="2020-12-02T06:44:00Z"/>
  <w16cex:commentExtensible w16cex:durableId="23720C62" w16cex:dateUtc="2020-12-02T06:51:00Z"/>
  <w16cex:commentExtensible w16cex:durableId="23720C84" w16cex:dateUtc="2020-12-02T06:52:00Z"/>
  <w16cex:commentExtensible w16cex:durableId="2373A668" w16cex:dateUtc="2020-12-03T12:01:00Z"/>
  <w16cex:commentExtensible w16cex:durableId="2373A681" w16cex:dateUtc="2020-12-03T12:01:00Z"/>
  <w16cex:commentExtensible w16cex:durableId="23720CDD" w16cex:dateUtc="2020-12-02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446B0" w16cid:durableId="23739BA1"/>
  <w16cid:commentId w16cid:paraId="42810330" w16cid:durableId="2373A60E"/>
  <w16cid:commentId w16cid:paraId="0CBA2693" w16cid:durableId="23720A9C"/>
  <w16cid:commentId w16cid:paraId="5B9D8C95" w16cid:durableId="23739BA3"/>
  <w16cid:commentId w16cid:paraId="1F756FD9" w16cid:durableId="23720C62"/>
  <w16cid:commentId w16cid:paraId="2E2D0BC6" w16cid:durableId="23739BA5"/>
  <w16cid:commentId w16cid:paraId="6DA48494" w16cid:durableId="23720C84"/>
  <w16cid:commentId w16cid:paraId="7796B30D" w16cid:durableId="23739BA7"/>
  <w16cid:commentId w16cid:paraId="157ECC21" w16cid:durableId="2373A668"/>
  <w16cid:commentId w16cid:paraId="03E9D6F4" w16cid:durableId="2373A681"/>
  <w16cid:commentId w16cid:paraId="7ADFE912" w16cid:durableId="23720CDD"/>
  <w16cid:commentId w16cid:paraId="7160B5B6" w16cid:durableId="23739B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B1F1" w14:textId="77777777" w:rsidR="00DA1ACA" w:rsidRDefault="00DA1ACA" w:rsidP="00447306">
      <w:pPr>
        <w:spacing w:after="0" w:line="240" w:lineRule="auto"/>
      </w:pPr>
      <w:r>
        <w:separator/>
      </w:r>
    </w:p>
  </w:endnote>
  <w:endnote w:type="continuationSeparator" w:id="0">
    <w:p w14:paraId="7A83F0D0" w14:textId="77777777" w:rsidR="00DA1ACA" w:rsidRDefault="00DA1ACA" w:rsidP="0044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292607"/>
      <w:docPartObj>
        <w:docPartGallery w:val="Page Numbers (Bottom of Page)"/>
        <w:docPartUnique/>
      </w:docPartObj>
    </w:sdtPr>
    <w:sdtEndPr/>
    <w:sdtContent>
      <w:p w14:paraId="01FADDB3" w14:textId="7408A397" w:rsidR="0041665B" w:rsidRDefault="0041665B">
        <w:pPr>
          <w:pStyle w:val="ac"/>
          <w:jc w:val="right"/>
        </w:pPr>
        <w:r>
          <w:fldChar w:fldCharType="begin"/>
        </w:r>
        <w:r>
          <w:instrText>PAGE   \* MERGEFORMAT</w:instrText>
        </w:r>
        <w:r>
          <w:fldChar w:fldCharType="separate"/>
        </w:r>
        <w:r w:rsidR="003D421D">
          <w:rPr>
            <w:noProof/>
          </w:rPr>
          <w:t>2</w:t>
        </w:r>
        <w:r>
          <w:fldChar w:fldCharType="end"/>
        </w:r>
      </w:p>
    </w:sdtContent>
  </w:sdt>
  <w:p w14:paraId="1017C77D" w14:textId="77777777" w:rsidR="0041665B" w:rsidRDefault="0041665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AF74C" w14:textId="77777777" w:rsidR="00DA1ACA" w:rsidRDefault="00DA1ACA" w:rsidP="00447306">
      <w:pPr>
        <w:spacing w:after="0" w:line="240" w:lineRule="auto"/>
      </w:pPr>
      <w:r>
        <w:separator/>
      </w:r>
    </w:p>
  </w:footnote>
  <w:footnote w:type="continuationSeparator" w:id="0">
    <w:p w14:paraId="2280CE6E" w14:textId="77777777" w:rsidR="00DA1ACA" w:rsidRDefault="00DA1ACA" w:rsidP="0044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DC64" w14:textId="4B2F5A84" w:rsidR="000709BD" w:rsidRDefault="000709BD" w:rsidP="000709BD">
    <w:pPr>
      <w:pStyle w:val="aa"/>
      <w:jc w:val="center"/>
    </w:pPr>
    <w:r w:rsidRPr="008A2E64">
      <w:rPr>
        <w:noProof/>
        <w:lang w:eastAsia="ru-RU"/>
      </w:rPr>
      <w:drawing>
        <wp:inline distT="0" distB="0" distL="0" distR="0" wp14:anchorId="72B064B9" wp14:editId="74150730">
          <wp:extent cx="2847975" cy="472979"/>
          <wp:effectExtent l="0" t="0" r="0" b="3810"/>
          <wp:docPr id="1" name="Рисунок 1" descr="Azizov &amp;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izov &amp; Partners"/>
                  <pic:cNvPicPr>
                    <a:picLocks noChangeAspect="1" noChangeArrowheads="1"/>
                  </pic:cNvPicPr>
                </pic:nvPicPr>
                <pic:blipFill>
                  <a:blip r:embed="rId1" cstate="print"/>
                  <a:srcRect/>
                  <a:stretch>
                    <a:fillRect/>
                  </a:stretch>
                </pic:blipFill>
                <pic:spPr bwMode="auto">
                  <a:xfrm>
                    <a:off x="0" y="0"/>
                    <a:ext cx="2972856" cy="4937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360"/>
    <w:multiLevelType w:val="multilevel"/>
    <w:tmpl w:val="7922AF4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875BA9"/>
    <w:multiLevelType w:val="hybridMultilevel"/>
    <w:tmpl w:val="3CD63702"/>
    <w:lvl w:ilvl="0" w:tplc="38AC77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6D5EF7"/>
    <w:multiLevelType w:val="hybridMultilevel"/>
    <w:tmpl w:val="FE9A09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8656710"/>
    <w:multiLevelType w:val="hybridMultilevel"/>
    <w:tmpl w:val="59A6B44A"/>
    <w:lvl w:ilvl="0" w:tplc="D19E37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836307"/>
    <w:multiLevelType w:val="hybridMultilevel"/>
    <w:tmpl w:val="7B5C024A"/>
    <w:lvl w:ilvl="0" w:tplc="24B47AB0">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397D2344"/>
    <w:multiLevelType w:val="multilevel"/>
    <w:tmpl w:val="8F68163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182E50"/>
    <w:multiLevelType w:val="hybridMultilevel"/>
    <w:tmpl w:val="C2BE6650"/>
    <w:lvl w:ilvl="0" w:tplc="24B47A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441EDE"/>
    <w:multiLevelType w:val="hybridMultilevel"/>
    <w:tmpl w:val="A028CE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4772160"/>
    <w:multiLevelType w:val="multilevel"/>
    <w:tmpl w:val="82E64E0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403347"/>
    <w:multiLevelType w:val="hybridMultilevel"/>
    <w:tmpl w:val="DC484690"/>
    <w:lvl w:ilvl="0" w:tplc="24B47A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515416"/>
    <w:multiLevelType w:val="hybridMultilevel"/>
    <w:tmpl w:val="08A88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E43496"/>
    <w:multiLevelType w:val="hybridMultilevel"/>
    <w:tmpl w:val="2D1ACE4E"/>
    <w:lvl w:ilvl="0" w:tplc="38AC77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DA2618"/>
    <w:multiLevelType w:val="hybridMultilevel"/>
    <w:tmpl w:val="3896420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3" w15:restartNumberingAfterBreak="0">
    <w:nsid w:val="7D947692"/>
    <w:multiLevelType w:val="hybridMultilevel"/>
    <w:tmpl w:val="F9409B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3"/>
  </w:num>
  <w:num w:numId="3">
    <w:abstractNumId w:val="7"/>
  </w:num>
  <w:num w:numId="4">
    <w:abstractNumId w:val="4"/>
  </w:num>
  <w:num w:numId="5">
    <w:abstractNumId w:val="10"/>
  </w:num>
  <w:num w:numId="6">
    <w:abstractNumId w:val="1"/>
  </w:num>
  <w:num w:numId="7">
    <w:abstractNumId w:val="11"/>
  </w:num>
  <w:num w:numId="8">
    <w:abstractNumId w:val="8"/>
  </w:num>
  <w:num w:numId="9">
    <w:abstractNumId w:val="0"/>
  </w:num>
  <w:num w:numId="10">
    <w:abstractNumId w:val="3"/>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23"/>
    <w:rsid w:val="000006FF"/>
    <w:rsid w:val="00003042"/>
    <w:rsid w:val="00003156"/>
    <w:rsid w:val="00007363"/>
    <w:rsid w:val="00013441"/>
    <w:rsid w:val="00020135"/>
    <w:rsid w:val="000709BD"/>
    <w:rsid w:val="00080A5A"/>
    <w:rsid w:val="00094E9B"/>
    <w:rsid w:val="000A0AF5"/>
    <w:rsid w:val="000B4CE9"/>
    <w:rsid w:val="000D3129"/>
    <w:rsid w:val="000D48A9"/>
    <w:rsid w:val="00101D9E"/>
    <w:rsid w:val="00161E78"/>
    <w:rsid w:val="001718CF"/>
    <w:rsid w:val="001971C8"/>
    <w:rsid w:val="001C40ED"/>
    <w:rsid w:val="002043CA"/>
    <w:rsid w:val="0022596D"/>
    <w:rsid w:val="0025365E"/>
    <w:rsid w:val="00263941"/>
    <w:rsid w:val="00265536"/>
    <w:rsid w:val="00273C4A"/>
    <w:rsid w:val="00274E45"/>
    <w:rsid w:val="00275BA3"/>
    <w:rsid w:val="00281A57"/>
    <w:rsid w:val="002A3A82"/>
    <w:rsid w:val="002A6231"/>
    <w:rsid w:val="002C2CCA"/>
    <w:rsid w:val="002E7646"/>
    <w:rsid w:val="003023FA"/>
    <w:rsid w:val="003166DF"/>
    <w:rsid w:val="00332D61"/>
    <w:rsid w:val="0033354E"/>
    <w:rsid w:val="003478FF"/>
    <w:rsid w:val="00387D9B"/>
    <w:rsid w:val="003B2CCB"/>
    <w:rsid w:val="003D421D"/>
    <w:rsid w:val="003F3B1F"/>
    <w:rsid w:val="003F783C"/>
    <w:rsid w:val="00401A2D"/>
    <w:rsid w:val="004113CA"/>
    <w:rsid w:val="0041665B"/>
    <w:rsid w:val="00447306"/>
    <w:rsid w:val="0047240E"/>
    <w:rsid w:val="00483932"/>
    <w:rsid w:val="00496978"/>
    <w:rsid w:val="004B063A"/>
    <w:rsid w:val="004B53BA"/>
    <w:rsid w:val="00505950"/>
    <w:rsid w:val="00551CC2"/>
    <w:rsid w:val="00581B98"/>
    <w:rsid w:val="005A1AC6"/>
    <w:rsid w:val="005B592F"/>
    <w:rsid w:val="005E45B4"/>
    <w:rsid w:val="006006E3"/>
    <w:rsid w:val="00614BAA"/>
    <w:rsid w:val="00627CE0"/>
    <w:rsid w:val="00631BA3"/>
    <w:rsid w:val="00633A9F"/>
    <w:rsid w:val="00651BF7"/>
    <w:rsid w:val="00654AEB"/>
    <w:rsid w:val="00664EEB"/>
    <w:rsid w:val="0066699E"/>
    <w:rsid w:val="006A4625"/>
    <w:rsid w:val="006B0C58"/>
    <w:rsid w:val="006B7249"/>
    <w:rsid w:val="006C35D3"/>
    <w:rsid w:val="006D3C8C"/>
    <w:rsid w:val="00700FB9"/>
    <w:rsid w:val="00712CFE"/>
    <w:rsid w:val="00721806"/>
    <w:rsid w:val="00732704"/>
    <w:rsid w:val="007335D8"/>
    <w:rsid w:val="00770223"/>
    <w:rsid w:val="00775EE9"/>
    <w:rsid w:val="00776D2D"/>
    <w:rsid w:val="007A46B2"/>
    <w:rsid w:val="007C7941"/>
    <w:rsid w:val="007D07D6"/>
    <w:rsid w:val="0084679B"/>
    <w:rsid w:val="00847118"/>
    <w:rsid w:val="008547BA"/>
    <w:rsid w:val="00855B08"/>
    <w:rsid w:val="00855D47"/>
    <w:rsid w:val="008852B9"/>
    <w:rsid w:val="00893133"/>
    <w:rsid w:val="008C7C1C"/>
    <w:rsid w:val="00954193"/>
    <w:rsid w:val="00957282"/>
    <w:rsid w:val="009A4D6B"/>
    <w:rsid w:val="009B2B50"/>
    <w:rsid w:val="009D3FD6"/>
    <w:rsid w:val="009F758C"/>
    <w:rsid w:val="00A16688"/>
    <w:rsid w:val="00A31125"/>
    <w:rsid w:val="00A40B76"/>
    <w:rsid w:val="00A47F51"/>
    <w:rsid w:val="00A645D2"/>
    <w:rsid w:val="00A65E94"/>
    <w:rsid w:val="00A77533"/>
    <w:rsid w:val="00A81755"/>
    <w:rsid w:val="00AA3865"/>
    <w:rsid w:val="00AD1D77"/>
    <w:rsid w:val="00B15C26"/>
    <w:rsid w:val="00B807DA"/>
    <w:rsid w:val="00BB0DA0"/>
    <w:rsid w:val="00C134F5"/>
    <w:rsid w:val="00C20418"/>
    <w:rsid w:val="00C37D43"/>
    <w:rsid w:val="00CA7430"/>
    <w:rsid w:val="00CB5772"/>
    <w:rsid w:val="00CE3527"/>
    <w:rsid w:val="00CE7286"/>
    <w:rsid w:val="00CF6F31"/>
    <w:rsid w:val="00D20A33"/>
    <w:rsid w:val="00D33CF1"/>
    <w:rsid w:val="00D40420"/>
    <w:rsid w:val="00D4217C"/>
    <w:rsid w:val="00D51482"/>
    <w:rsid w:val="00D87A4A"/>
    <w:rsid w:val="00DA1ACA"/>
    <w:rsid w:val="00DA25E6"/>
    <w:rsid w:val="00DC1283"/>
    <w:rsid w:val="00DC2F74"/>
    <w:rsid w:val="00DD15AF"/>
    <w:rsid w:val="00DE1485"/>
    <w:rsid w:val="00E07AA7"/>
    <w:rsid w:val="00E26F50"/>
    <w:rsid w:val="00E63876"/>
    <w:rsid w:val="00E94D55"/>
    <w:rsid w:val="00E97979"/>
    <w:rsid w:val="00EA023F"/>
    <w:rsid w:val="00EB09F5"/>
    <w:rsid w:val="00F212A8"/>
    <w:rsid w:val="00F22FB4"/>
    <w:rsid w:val="00F40E1C"/>
    <w:rsid w:val="00F473A2"/>
    <w:rsid w:val="00FA6023"/>
    <w:rsid w:val="00FB2BFE"/>
    <w:rsid w:val="00FC7A7D"/>
    <w:rsid w:val="00FE4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75D7"/>
  <w15:docId w15:val="{10AFB8B2-F4FE-4FD6-A88E-99C19046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5B592F"/>
    <w:pPr>
      <w:numPr>
        <w:numId w:val="11"/>
      </w:numPr>
      <w:spacing w:after="60"/>
      <w:jc w:val="center"/>
      <w:outlineLvl w:val="0"/>
    </w:pPr>
    <w:rPr>
      <w:rFonts w:ascii="Times New Roman" w:eastAsia="Times New Roman" w:hAnsi="Times New Roman"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semiHidden/>
    <w:rsid w:val="00447306"/>
    <w:rPr>
      <w:vertAlign w:val="superscript"/>
    </w:rPr>
  </w:style>
  <w:style w:type="paragraph" w:styleId="a5">
    <w:name w:val="footnote text"/>
    <w:basedOn w:val="a"/>
    <w:link w:val="a6"/>
    <w:uiPriority w:val="99"/>
    <w:semiHidden/>
    <w:unhideWhenUsed/>
    <w:rsid w:val="00447306"/>
    <w:pPr>
      <w:spacing w:after="0" w:line="240" w:lineRule="auto"/>
    </w:pPr>
    <w:rPr>
      <w:rFonts w:eastAsiaTheme="minorEastAsia"/>
      <w:sz w:val="20"/>
      <w:szCs w:val="20"/>
      <w:lang w:eastAsia="ru-RU"/>
    </w:rPr>
  </w:style>
  <w:style w:type="character" w:customStyle="1" w:styleId="a6">
    <w:name w:val="Текст сноски Знак"/>
    <w:basedOn w:val="a1"/>
    <w:link w:val="a5"/>
    <w:uiPriority w:val="99"/>
    <w:semiHidden/>
    <w:rsid w:val="00447306"/>
    <w:rPr>
      <w:rFonts w:eastAsiaTheme="minorEastAsia"/>
      <w:sz w:val="20"/>
      <w:szCs w:val="20"/>
      <w:lang w:eastAsia="ru-RU"/>
    </w:rPr>
  </w:style>
  <w:style w:type="paragraph" w:styleId="a0">
    <w:name w:val="List Paragraph"/>
    <w:basedOn w:val="a"/>
    <w:uiPriority w:val="34"/>
    <w:qFormat/>
    <w:rsid w:val="00447306"/>
    <w:pPr>
      <w:ind w:left="720"/>
      <w:contextualSpacing/>
    </w:pPr>
    <w:rPr>
      <w:rFonts w:eastAsiaTheme="minorEastAsia"/>
      <w:lang w:eastAsia="ru-RU"/>
    </w:rPr>
  </w:style>
  <w:style w:type="character" w:customStyle="1" w:styleId="2">
    <w:name w:val="Основной текст (2)"/>
    <w:basedOn w:val="a1"/>
    <w:rsid w:val="00447306"/>
    <w:rPr>
      <w:rFonts w:ascii="Book Antiqua" w:eastAsia="Book Antiqua" w:hAnsi="Book Antiqua" w:cs="Book Antiqua"/>
      <w:b w:val="0"/>
      <w:bCs w:val="0"/>
      <w:i w:val="0"/>
      <w:iCs w:val="0"/>
      <w:smallCaps w:val="0"/>
      <w:strike w:val="0"/>
      <w:color w:val="000000"/>
      <w:spacing w:val="0"/>
      <w:w w:val="100"/>
      <w:position w:val="0"/>
      <w:sz w:val="21"/>
      <w:szCs w:val="21"/>
      <w:u w:val="none"/>
      <w:lang w:val="en-US" w:eastAsia="en-US" w:bidi="en-US"/>
    </w:rPr>
  </w:style>
  <w:style w:type="character" w:customStyle="1" w:styleId="s0">
    <w:name w:val="s0"/>
    <w:rsid w:val="00447306"/>
    <w:rPr>
      <w:rFonts w:ascii="Times New Roman" w:hAnsi="Times New Roman" w:cs="Times New Roman" w:hint="default"/>
      <w:b w:val="0"/>
      <w:bCs w:val="0"/>
      <w:i w:val="0"/>
      <w:iCs w:val="0"/>
      <w:color w:val="000000"/>
    </w:rPr>
  </w:style>
  <w:style w:type="paragraph" w:styleId="a7">
    <w:name w:val="Balloon Text"/>
    <w:basedOn w:val="a"/>
    <w:link w:val="a8"/>
    <w:uiPriority w:val="99"/>
    <w:semiHidden/>
    <w:unhideWhenUsed/>
    <w:rsid w:val="00F212A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F212A8"/>
    <w:rPr>
      <w:rFonts w:ascii="Tahoma" w:hAnsi="Tahoma" w:cs="Tahoma"/>
      <w:sz w:val="16"/>
      <w:szCs w:val="16"/>
    </w:rPr>
  </w:style>
  <w:style w:type="character" w:styleId="a9">
    <w:name w:val="Hyperlink"/>
    <w:basedOn w:val="a1"/>
    <w:uiPriority w:val="99"/>
    <w:unhideWhenUsed/>
    <w:rsid w:val="00101D9E"/>
    <w:rPr>
      <w:color w:val="0000FF" w:themeColor="hyperlink"/>
      <w:u w:val="single"/>
    </w:rPr>
  </w:style>
  <w:style w:type="paragraph" w:styleId="aa">
    <w:name w:val="header"/>
    <w:basedOn w:val="a"/>
    <w:link w:val="ab"/>
    <w:uiPriority w:val="99"/>
    <w:unhideWhenUsed/>
    <w:rsid w:val="00007363"/>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07363"/>
  </w:style>
  <w:style w:type="paragraph" w:styleId="ac">
    <w:name w:val="footer"/>
    <w:basedOn w:val="a"/>
    <w:link w:val="ad"/>
    <w:uiPriority w:val="99"/>
    <w:unhideWhenUsed/>
    <w:rsid w:val="0000736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07363"/>
  </w:style>
  <w:style w:type="character" w:customStyle="1" w:styleId="10">
    <w:name w:val="Заголовок 1 Знак"/>
    <w:basedOn w:val="a1"/>
    <w:link w:val="1"/>
    <w:uiPriority w:val="9"/>
    <w:rsid w:val="005B592F"/>
    <w:rPr>
      <w:rFonts w:ascii="Times New Roman" w:eastAsia="Times New Roman" w:hAnsi="Times New Roman" w:cs="Times New Roman"/>
      <w:b/>
      <w:lang w:eastAsia="ru-RU"/>
    </w:rPr>
  </w:style>
  <w:style w:type="paragraph" w:styleId="11">
    <w:name w:val="toc 1"/>
    <w:basedOn w:val="a"/>
    <w:next w:val="a"/>
    <w:autoRedefine/>
    <w:uiPriority w:val="39"/>
    <w:unhideWhenUsed/>
    <w:rsid w:val="00732704"/>
    <w:pPr>
      <w:tabs>
        <w:tab w:val="left" w:pos="440"/>
        <w:tab w:val="right" w:leader="dot" w:pos="15388"/>
      </w:tabs>
      <w:spacing w:after="100"/>
    </w:pPr>
    <w:rPr>
      <w:rFonts w:ascii="Times New Roman" w:hAnsi="Times New Roman" w:cs="Times New Roman"/>
      <w:noProof/>
      <w:sz w:val="20"/>
      <w:szCs w:val="20"/>
    </w:rPr>
  </w:style>
  <w:style w:type="table" w:styleId="ae">
    <w:name w:val="Table Grid"/>
    <w:basedOn w:val="a2"/>
    <w:uiPriority w:val="59"/>
    <w:rsid w:val="008C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A47F51"/>
    <w:rPr>
      <w:sz w:val="16"/>
      <w:szCs w:val="16"/>
    </w:rPr>
  </w:style>
  <w:style w:type="paragraph" w:styleId="af0">
    <w:name w:val="annotation text"/>
    <w:basedOn w:val="a"/>
    <w:link w:val="af1"/>
    <w:uiPriority w:val="99"/>
    <w:semiHidden/>
    <w:unhideWhenUsed/>
    <w:rsid w:val="00A47F51"/>
    <w:pPr>
      <w:spacing w:line="240" w:lineRule="auto"/>
    </w:pPr>
    <w:rPr>
      <w:sz w:val="20"/>
      <w:szCs w:val="20"/>
    </w:rPr>
  </w:style>
  <w:style w:type="character" w:customStyle="1" w:styleId="af1">
    <w:name w:val="Текст примечания Знак"/>
    <w:basedOn w:val="a1"/>
    <w:link w:val="af0"/>
    <w:uiPriority w:val="99"/>
    <w:semiHidden/>
    <w:rsid w:val="00A47F51"/>
    <w:rPr>
      <w:sz w:val="20"/>
      <w:szCs w:val="20"/>
    </w:rPr>
  </w:style>
  <w:style w:type="paragraph" w:styleId="af2">
    <w:name w:val="annotation subject"/>
    <w:basedOn w:val="af0"/>
    <w:next w:val="af0"/>
    <w:link w:val="af3"/>
    <w:uiPriority w:val="99"/>
    <w:semiHidden/>
    <w:unhideWhenUsed/>
    <w:rsid w:val="00A47F51"/>
    <w:rPr>
      <w:b/>
      <w:bCs/>
    </w:rPr>
  </w:style>
  <w:style w:type="character" w:customStyle="1" w:styleId="af3">
    <w:name w:val="Тема примечания Знак"/>
    <w:basedOn w:val="af1"/>
    <w:link w:val="af2"/>
    <w:uiPriority w:val="99"/>
    <w:semiHidden/>
    <w:rsid w:val="00A47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FFC9-BBBF-4EE3-849B-D407F02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Inkar Uskenbayeva</cp:lastModifiedBy>
  <cp:revision>24</cp:revision>
  <dcterms:created xsi:type="dcterms:W3CDTF">2020-12-04T17:56:00Z</dcterms:created>
  <dcterms:modified xsi:type="dcterms:W3CDTF">2021-11-23T08:46:00Z</dcterms:modified>
</cp:coreProperties>
</file>